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BB26" w14:textId="77777777" w:rsidR="00FA3749" w:rsidRPr="00566DAC" w:rsidRDefault="00FA3749" w:rsidP="00DF5D3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Общественные обсуждения </w:t>
      </w:r>
    </w:p>
    <w:p w14:paraId="01166B83" w14:textId="1A90482B" w:rsidR="00FA3749" w:rsidRPr="00566DAC" w:rsidRDefault="00FA3749" w:rsidP="00DF5D3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проекту прогноза социально-экономического развития </w:t>
      </w:r>
      <w:r w:rsid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Пластуновского сельского поселения </w:t>
      </w:r>
      <w:r w:rsidRP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образования Динской район на 20</w:t>
      </w:r>
      <w:r w:rsidR="007620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525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плановый период 20</w:t>
      </w:r>
      <w:r w:rsidR="006D27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525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</w:t>
      </w:r>
      <w:r w:rsidR="00CC49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525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566D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</w:t>
      </w:r>
    </w:p>
    <w:p w14:paraId="542737BC" w14:textId="77777777" w:rsidR="00FA3749" w:rsidRPr="00566DAC" w:rsidRDefault="00FA3749" w:rsidP="00DF5D3E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921B82" w14:textId="5DE9629E" w:rsidR="00FA3749" w:rsidRPr="00875DB0" w:rsidRDefault="00FA3749" w:rsidP="00DF5D3E">
      <w:pPr>
        <w:spacing w:after="0" w:line="240" w:lineRule="auto"/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>Динско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законом от  28 июня 2014 года № 172-ФЗ «О стратегическом планировании в Российской Федерации», постановлением администрации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Пластуновского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>Динско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>ября 201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481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порядке разработки и корректировки, осуществления мониторинга и контроля реализации прогнозов социально-экономического развития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  <w:r w:rsidR="00566DAC" w:rsidRPr="00566DAC">
        <w:rPr>
          <w:rFonts w:ascii="Times New Roman" w:eastAsia="Times New Roman" w:hAnsi="Times New Roman"/>
          <w:sz w:val="28"/>
          <w:szCs w:val="28"/>
          <w:lang w:eastAsia="ru-RU"/>
        </w:rPr>
        <w:t>Динско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66DAC"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66DAC"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>на долгосрочный и среднесрочный период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C4959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23.10.2017 г. № 236)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общественное обсуждение проекта прогноза социально-экономического развития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Пластуновского сельского поселения 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Динской район на 20</w:t>
      </w:r>
      <w:r w:rsidR="007620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25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</w:t>
      </w:r>
      <w:r w:rsidR="00CE69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25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и 20</w:t>
      </w:r>
      <w:r w:rsidR="00CC49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525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>далее  - проект прогноза).</w:t>
      </w:r>
    </w:p>
    <w:p w14:paraId="23364B55" w14:textId="28EDE877" w:rsidR="00FA3749" w:rsidRPr="00875DB0" w:rsidRDefault="00FA3749" w:rsidP="00DF5D3E">
      <w:pPr>
        <w:spacing w:after="0" w:line="240" w:lineRule="auto"/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>Начало проведения общественного обсуждения проекта прогноза –</w:t>
      </w:r>
      <w:r w:rsidR="009E16EA"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DB0" w:rsidRPr="00875DB0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FD650F"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074" w:rsidRPr="00875DB0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>ября 20</w:t>
      </w:r>
      <w:r w:rsidR="00E90226" w:rsidRPr="00875D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5DB0" w:rsidRPr="00875D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74F4AE27" w14:textId="60315701" w:rsidR="00FA3749" w:rsidRPr="00875DB0" w:rsidRDefault="00FA3749" w:rsidP="00DF5D3E">
      <w:pPr>
        <w:spacing w:after="0" w:line="240" w:lineRule="auto"/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Окончание проведения общественного обсуждения проекта </w:t>
      </w:r>
      <w:r w:rsidR="00FD650F" w:rsidRPr="00875DB0">
        <w:rPr>
          <w:rFonts w:ascii="Times New Roman" w:eastAsia="Times New Roman" w:hAnsi="Times New Roman"/>
          <w:sz w:val="28"/>
          <w:szCs w:val="28"/>
          <w:lang w:eastAsia="ru-RU"/>
        </w:rPr>
        <w:t>прогноза –</w:t>
      </w:r>
      <w:r w:rsidR="00762074"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6EE8" w:rsidRPr="00875DB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5DB0" w:rsidRPr="00875DB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D650F"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>ноября 20</w:t>
      </w:r>
      <w:r w:rsidR="00E90226" w:rsidRPr="00875D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5DB0" w:rsidRPr="00875D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69CA09CC" w14:textId="77777777" w:rsidR="00FA3749" w:rsidRPr="00DF5D3E" w:rsidRDefault="00FA3749" w:rsidP="00DF5D3E">
      <w:pPr>
        <w:spacing w:after="0" w:line="240" w:lineRule="auto"/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DB0">
        <w:rPr>
          <w:rFonts w:ascii="Times New Roman" w:eastAsia="Times New Roman" w:hAnsi="Times New Roman"/>
          <w:sz w:val="28"/>
          <w:szCs w:val="28"/>
          <w:lang w:eastAsia="ru-RU"/>
        </w:rPr>
        <w:t>Замечания и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 к проекту прогноза принимаются по адресу электронной почты 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Пластуновского сельского поселения </w:t>
      </w:r>
      <w:r w:rsidR="00566DAC" w:rsidRPr="00566DAC">
        <w:rPr>
          <w:rFonts w:ascii="Times New Roman" w:eastAsia="Times New Roman" w:hAnsi="Times New Roman"/>
          <w:sz w:val="28"/>
          <w:szCs w:val="28"/>
          <w:lang w:eastAsia="ru-RU"/>
        </w:rPr>
        <w:t>Динско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66DAC"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66D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F5D3E">
        <w:rPr>
          <w:sz w:val="28"/>
          <w:szCs w:val="28"/>
          <w:lang w:val="en-US"/>
        </w:rPr>
        <w:t>admin</w:t>
      </w:r>
      <w:r w:rsidR="00DF5D3E" w:rsidRPr="00DF5D3E">
        <w:rPr>
          <w:sz w:val="28"/>
          <w:szCs w:val="28"/>
        </w:rPr>
        <w:t>_</w:t>
      </w:r>
      <w:proofErr w:type="spellStart"/>
      <w:r w:rsidR="00DF5D3E">
        <w:rPr>
          <w:sz w:val="28"/>
          <w:szCs w:val="28"/>
          <w:lang w:val="en-US"/>
        </w:rPr>
        <w:t>plast</w:t>
      </w:r>
      <w:proofErr w:type="spellEnd"/>
      <w:r w:rsidR="00DF5D3E" w:rsidRPr="00DF5D3E">
        <w:rPr>
          <w:sz w:val="28"/>
          <w:szCs w:val="28"/>
        </w:rPr>
        <w:t>@</w:t>
      </w:r>
      <w:r w:rsidR="00DF5D3E">
        <w:rPr>
          <w:sz w:val="28"/>
          <w:szCs w:val="28"/>
          <w:lang w:val="en-US"/>
        </w:rPr>
        <w:t>inbox</w:t>
      </w:r>
      <w:r w:rsidR="00DF5D3E" w:rsidRPr="00DF5D3E">
        <w:rPr>
          <w:sz w:val="28"/>
          <w:szCs w:val="28"/>
        </w:rPr>
        <w:t>.</w:t>
      </w:r>
      <w:proofErr w:type="spellStart"/>
      <w:r w:rsidR="00DF5D3E">
        <w:rPr>
          <w:sz w:val="28"/>
          <w:szCs w:val="28"/>
          <w:lang w:val="en-US"/>
        </w:rPr>
        <w:t>ru</w:t>
      </w:r>
      <w:proofErr w:type="spellEnd"/>
    </w:p>
    <w:p w14:paraId="06E6CC3A" w14:textId="77777777" w:rsidR="00FA3749" w:rsidRPr="00566DAC" w:rsidRDefault="00FA3749" w:rsidP="00DF5D3E">
      <w:pPr>
        <w:spacing w:after="0" w:line="240" w:lineRule="auto"/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замечаниям и предложениям представителей общественности к проекту прогноза установлены Федеральным законом от 2 мая 2006 года № 59-ФЗ «О порядке рассмотрения обращений граждан Российской Федерации». </w:t>
      </w:r>
    </w:p>
    <w:p w14:paraId="5F357CDF" w14:textId="77777777" w:rsidR="00CA4FBF" w:rsidRDefault="00FA3749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DA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2 мая 2006 года № 59-ФЗ «О порядке рассмотрения обращений граждан Российской Федерации».  </w:t>
      </w:r>
    </w:p>
    <w:p w14:paraId="220472DF" w14:textId="77777777" w:rsidR="00CE69B5" w:rsidRDefault="00CE69B5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B79228" w14:textId="77777777" w:rsidR="002B600A" w:rsidRDefault="002B600A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6EC466" w14:textId="77777777" w:rsidR="00344C55" w:rsidRDefault="00344C55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15BEB" w14:textId="77777777" w:rsidR="00344C55" w:rsidRDefault="00344C55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DFF832" w14:textId="77777777" w:rsidR="00344C55" w:rsidRDefault="00344C55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418E5A" w14:textId="77777777" w:rsidR="00344C55" w:rsidRDefault="00344C55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ED3A8" w14:textId="77777777" w:rsidR="00364567" w:rsidRDefault="00364567" w:rsidP="00DF5D3E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64567" w:rsidSect="002B600A">
          <w:pgSz w:w="11906" w:h="16838"/>
          <w:pgMar w:top="1134" w:right="1418" w:bottom="1134" w:left="1134" w:header="709" w:footer="709" w:gutter="0"/>
          <w:cols w:space="708"/>
          <w:docGrid w:linePitch="360"/>
        </w:sectPr>
      </w:pPr>
    </w:p>
    <w:p w14:paraId="33199ACE" w14:textId="77777777" w:rsidR="00C52528" w:rsidRDefault="00C52528" w:rsidP="00C52528">
      <w:pPr>
        <w:ind w:left="-142" w:right="-28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4A294" w14:textId="77777777" w:rsidR="00C52528" w:rsidRDefault="00C52528" w:rsidP="00C52528">
      <w:pPr>
        <w:ind w:left="8931" w:right="-28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tbl>
      <w:tblPr>
        <w:tblW w:w="13988" w:type="dxa"/>
        <w:tblInd w:w="108" w:type="dxa"/>
        <w:tblLook w:val="04A0" w:firstRow="1" w:lastRow="0" w:firstColumn="1" w:lastColumn="0" w:noHBand="0" w:noVBand="1"/>
      </w:tblPr>
      <w:tblGrid>
        <w:gridCol w:w="7230"/>
        <w:gridCol w:w="866"/>
        <w:gridCol w:w="866"/>
        <w:gridCol w:w="866"/>
        <w:gridCol w:w="866"/>
        <w:gridCol w:w="866"/>
        <w:gridCol w:w="866"/>
        <w:gridCol w:w="944"/>
        <w:gridCol w:w="902"/>
      </w:tblGrid>
      <w:tr w:rsidR="00C52528" w:rsidRPr="00747444" w14:paraId="04AE9BAB" w14:textId="77777777" w:rsidTr="00732C86">
        <w:trPr>
          <w:trHeight w:val="1380"/>
        </w:trPr>
        <w:tc>
          <w:tcPr>
            <w:tcW w:w="13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E0E7C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ПРОГНОЗ СОЦИАЛЬНО-ЭКОНОМИЧЕСКОГО РАЗВИТИЯ                                                                                                                                                                            ПЛАСТУНОВСКОГО СЕЛЬСКОГО ПОСЕЛЕНИЯ МУНИЦИПАЛЬНОГО ОБРАЗОВАНИЯ ДИНСКОЙ РАЙОН                                                                     НА 2025 ГОД И ПЛАНОВЫЙ ПЕРИОД 2026 И 2027 ГОДОВ </w:t>
            </w:r>
          </w:p>
        </w:tc>
      </w:tr>
      <w:tr w:rsidR="00C52528" w:rsidRPr="00747444" w14:paraId="62F138DD" w14:textId="77777777" w:rsidTr="00732C86">
        <w:trPr>
          <w:trHeight w:val="330"/>
        </w:trPr>
        <w:tc>
          <w:tcPr>
            <w:tcW w:w="13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A2D3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2528" w:rsidRPr="00747444" w14:paraId="3122D26B" w14:textId="77777777" w:rsidTr="00732C86">
        <w:trPr>
          <w:trHeight w:val="300"/>
        </w:trPr>
        <w:tc>
          <w:tcPr>
            <w:tcW w:w="7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69AC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E132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22B7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15F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79A7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C1BA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D00B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6D0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2025 г.     в % к   2023 г.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419C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2027 г.    в % к    2023 г.</w:t>
            </w:r>
          </w:p>
        </w:tc>
      </w:tr>
      <w:tr w:rsidR="00C52528" w:rsidRPr="00747444" w14:paraId="6EA91932" w14:textId="77777777" w:rsidTr="00732C86">
        <w:trPr>
          <w:trHeight w:val="465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170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592A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B5E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C08D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E7A4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079A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2528" w:rsidRPr="00747444" w14:paraId="0457403E" w14:textId="77777777" w:rsidTr="00732C86">
        <w:trPr>
          <w:trHeight w:val="43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7F49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Промышленная деятельность  </w:t>
            </w: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(объем отгруженной продукции) по полному кругу предприятий, млн. руб.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F18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1 845,3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AACD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1 306,6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FF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1 616,8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49C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1 734,4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377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1 869,3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E60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2 028,6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DEB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478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155,3</w:t>
            </w:r>
          </w:p>
        </w:tc>
      </w:tr>
      <w:tr w:rsidR="00C52528" w:rsidRPr="00747444" w14:paraId="4B500556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4C7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A1EB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FC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E8B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4AF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ABD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5DF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F1C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D8C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2C2F54A1" w14:textId="77777777" w:rsidTr="00732C86">
        <w:trPr>
          <w:trHeight w:val="51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932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продукции сельского хозяйства </w:t>
            </w: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всех сельхозпроизводителей,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048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BCE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7C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5E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B02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3 218,5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E2A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1A8C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5321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118,6</w:t>
            </w:r>
          </w:p>
        </w:tc>
      </w:tr>
      <w:tr w:rsidR="00C52528" w:rsidRPr="00747444" w14:paraId="5E6CC8CB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7C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F51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3FB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63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33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EDE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B00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045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4FF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48D265A2" w14:textId="77777777" w:rsidTr="00732C86">
        <w:trPr>
          <w:trHeight w:val="473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07F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услуг по транспортировке и хранению по полному кругу предприятий, млн 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E37A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6F2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56E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C20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5100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322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238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408C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C52528" w:rsidRPr="00747444" w14:paraId="11356FF5" w14:textId="77777777" w:rsidTr="00732C86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46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7BD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A73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282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EE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CF6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773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7089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1A8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036FBFA8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559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Оборот розничной торговли, </w:t>
            </w:r>
            <w:proofErr w:type="spell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</w:t>
            </w:r>
            <w:proofErr w:type="spell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3BBC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FF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C4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2D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250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7497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3 340,5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9A6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F78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175,4</w:t>
            </w:r>
          </w:p>
        </w:tc>
      </w:tr>
      <w:tr w:rsidR="00C52528" w:rsidRPr="00747444" w14:paraId="44232C7A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4E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417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63F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0D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FB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33D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3A1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9576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07B4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547015F5" w14:textId="77777777" w:rsidTr="00732C86">
        <w:trPr>
          <w:trHeight w:val="29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24F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Оборот общественного питания, </w:t>
            </w:r>
            <w:proofErr w:type="spell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</w:t>
            </w:r>
            <w:proofErr w:type="spell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D70C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41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5CD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FBC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BC57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984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C5C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03D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135,7</w:t>
            </w:r>
          </w:p>
        </w:tc>
      </w:tr>
      <w:tr w:rsidR="00C52528" w:rsidRPr="00747444" w14:paraId="0AFEF4C7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383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4522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04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5E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44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413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0AD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3998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4813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2C49102D" w14:textId="77777777" w:rsidTr="00732C86">
        <w:trPr>
          <w:trHeight w:val="42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342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за счет всех источников финансирования (без неформальной экономики), </w:t>
            </w:r>
            <w:proofErr w:type="spell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</w:t>
            </w:r>
            <w:proofErr w:type="spell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CA4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486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608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05B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F0A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393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F6D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8D75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C52528" w:rsidRPr="00747444" w14:paraId="709EECCD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4859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21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F0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9E5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221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965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4F30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C48C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EAF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0677CA19" w14:textId="77777777" w:rsidTr="00732C86">
        <w:trPr>
          <w:trHeight w:val="41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58C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выполненных работ по виду деятельности "строительство" (без неформальной экономики</w:t>
            </w:r>
            <w:proofErr w:type="gram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),млн</w:t>
            </w:r>
            <w:proofErr w:type="gram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2B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E24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897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5D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A35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069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39B5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DD5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173,3</w:t>
            </w:r>
          </w:p>
        </w:tc>
      </w:tr>
      <w:tr w:rsidR="00C52528" w:rsidRPr="00747444" w14:paraId="448A76E2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30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63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E5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D65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D1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874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F72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03BC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064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4BCFF4DD" w14:textId="77777777" w:rsidTr="00732C86">
        <w:trPr>
          <w:trHeight w:val="38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9292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предприятий курортно-туристического комплекса - всего (с учетом доходов малых предприятий и физических лиц), млн 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B60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70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82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D3E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DDE3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1FB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C3D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DB7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135,9</w:t>
            </w:r>
          </w:p>
        </w:tc>
      </w:tr>
      <w:tr w:rsidR="00C52528" w:rsidRPr="00747444" w14:paraId="586AD49A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A89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73D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BD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9E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C3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20E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94B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E77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5FD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1F8C39BD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059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 общего объема: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5B8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FBD4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B20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C35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6763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1DC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31D5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3A3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0AFE8343" w14:textId="77777777" w:rsidTr="00732C86">
        <w:trPr>
          <w:trHeight w:val="51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B9A3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доходы коллективных средств размещения, млн руб.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81F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C8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73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7E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AE4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BB9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0D1D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097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135,9</w:t>
            </w:r>
          </w:p>
        </w:tc>
      </w:tr>
      <w:tr w:rsidR="00C52528" w:rsidRPr="00747444" w14:paraId="3D658E30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5138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сопост.ценах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ADC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973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1F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429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B6AF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193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40B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99A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704462FA" w14:textId="77777777" w:rsidTr="00732C86">
        <w:trPr>
          <w:trHeight w:val="19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A97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Сальдированный финансовый результат, млн 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D445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AEC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DFF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A7C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34B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22062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34D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921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2528" w:rsidRPr="00747444" w14:paraId="4D51F46A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1A2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7B0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86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FBC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1EF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E9DC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111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748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531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681C8EAE" w14:textId="77777777" w:rsidTr="00732C86">
        <w:trPr>
          <w:trHeight w:val="51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71B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Прибыль прибыльных предприятий, </w:t>
            </w: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</w:t>
            </w:r>
            <w:proofErr w:type="spell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E9F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DE6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47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3D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8F9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34FA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26E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20D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2528" w:rsidRPr="00747444" w14:paraId="6B855B76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A598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7FC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AA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05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C7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42FD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B57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B101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1FF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3301A8C5" w14:textId="77777777" w:rsidTr="00732C86">
        <w:trPr>
          <w:trHeight w:val="32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AD0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Убыток по всем видам деятельности, млн 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079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2DE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3C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2A8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201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AC4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403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A90C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52528" w:rsidRPr="00747444" w14:paraId="07B008F0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C0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proofErr w:type="gramStart"/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действ.ценах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6A1A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8B7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26A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0E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AB6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7A90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C340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E89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3D862B7E" w14:textId="77777777" w:rsidTr="00732C86">
        <w:trPr>
          <w:trHeight w:val="29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854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Фонд заработной платы по полному кругу организаций, </w:t>
            </w:r>
            <w:proofErr w:type="spell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млн.руб</w:t>
            </w:r>
            <w:proofErr w:type="spell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CC9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BE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D4A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A8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AC0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891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1 659,9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125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9AE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142,3</w:t>
            </w:r>
          </w:p>
        </w:tc>
      </w:tr>
      <w:tr w:rsidR="00C52528" w:rsidRPr="00747444" w14:paraId="68A9E54D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549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150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3E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87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65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3BD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7653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057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4695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71CF6D86" w14:textId="77777777" w:rsidTr="00732C86">
        <w:trPr>
          <w:trHeight w:val="7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ABB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организаций, </w:t>
            </w: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тыс. чел.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F59A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6B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1B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B9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32A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139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3E55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381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104,7</w:t>
            </w:r>
          </w:p>
        </w:tc>
      </w:tr>
      <w:tr w:rsidR="00C52528" w:rsidRPr="00747444" w14:paraId="0581E563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A85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 к пред. Году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D26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314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6BE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11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67A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1A8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C69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AFD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77051641" w14:textId="77777777" w:rsidTr="00732C86">
        <w:trPr>
          <w:trHeight w:val="2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BA7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по полному кругу организаций, 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252B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43408,1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5C9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48334,2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7C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51319,4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BF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56488,2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68B9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61051,4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0D6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65681,4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B176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314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135,9</w:t>
            </w:r>
          </w:p>
        </w:tc>
      </w:tr>
      <w:tr w:rsidR="00C52528" w:rsidRPr="00747444" w14:paraId="57290C18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4E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09E9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22E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61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655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F14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04C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5E8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D83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6392B573" w14:textId="77777777" w:rsidTr="00732C86">
        <w:trPr>
          <w:trHeight w:val="28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E05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56F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563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C7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DCE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243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548E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36C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47C5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108,7</w:t>
            </w:r>
          </w:p>
        </w:tc>
      </w:tr>
      <w:tr w:rsidR="00C52528" w:rsidRPr="00747444" w14:paraId="47CDFC18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DE3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% к пред. году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900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BE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815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CFB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E69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CDA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725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3D4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5619E3C7" w14:textId="77777777" w:rsidTr="00732C86">
        <w:trPr>
          <w:trHeight w:val="16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0CF2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Среднесписочная численность работников субъектов МСП, чел.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6CC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692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35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14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8D16E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31D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E16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DD8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</w:tc>
      </w:tr>
      <w:tr w:rsidR="00C52528" w:rsidRPr="00747444" w14:paraId="787E3974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31D2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 к пред. году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07A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F2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E30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FC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AD25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334D7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F22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7D2F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7FF158EE" w14:textId="77777777" w:rsidTr="00732C86">
        <w:trPr>
          <w:trHeight w:val="21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1EF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постоянного населения (среднегодовая), </w:t>
            </w:r>
            <w:proofErr w:type="spellStart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тыс.чел</w:t>
            </w:r>
            <w:proofErr w:type="spellEnd"/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48F86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10,972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9B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EE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10,768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E56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10,740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B14D" w14:textId="09429D62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10,7</w:t>
            </w:r>
            <w:r w:rsidR="00C82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A28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10,673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4E5F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EF1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C52528" w:rsidRPr="00747444" w14:paraId="42DB5C0C" w14:textId="77777777" w:rsidTr="00732C86">
        <w:trPr>
          <w:trHeight w:val="24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91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 к пред. году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D5A6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8D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44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36E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81ED" w14:textId="6887CCB9" w:rsidR="00C52528" w:rsidRPr="00747444" w:rsidRDefault="00C827DF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82450" w14:textId="0A4BA955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</w:t>
            </w:r>
            <w:r w:rsidR="00C827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C1E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185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660089D6" w14:textId="77777777" w:rsidTr="00732C86">
        <w:trPr>
          <w:trHeight w:val="16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0783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экономике (среднегодовая), тыс. чел.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150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290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37A9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738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3D9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2A1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8D54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8D7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</w:tr>
      <w:tr w:rsidR="00C52528" w:rsidRPr="00747444" w14:paraId="653F0BD9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4FF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 к пред. году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6F2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9B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90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48AD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9DF8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01BC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572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1C14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528" w:rsidRPr="00747444" w14:paraId="4893CEEC" w14:textId="77777777" w:rsidTr="00732C86">
        <w:trPr>
          <w:trHeight w:val="49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62D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B83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9F6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0E1A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853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D991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91B" w14:textId="77777777" w:rsidR="00C52528" w:rsidRPr="00747444" w:rsidRDefault="00C52528" w:rsidP="00732C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3AF2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4376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52528" w:rsidRPr="00747444" w14:paraId="682CF9B2" w14:textId="77777777" w:rsidTr="00732C86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1164" w14:textId="77777777" w:rsidR="00C52528" w:rsidRPr="00747444" w:rsidRDefault="00C52528" w:rsidP="0073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2B7A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D4B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1D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708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E53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137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1A8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1D90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528" w:rsidRPr="00747444" w14:paraId="631483B0" w14:textId="77777777" w:rsidTr="00732C86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2072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75C8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2E4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6115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4B0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02D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DE1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F148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2A67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528" w:rsidRPr="00747444" w14:paraId="6AB60EC9" w14:textId="77777777" w:rsidTr="00732C86">
        <w:trPr>
          <w:trHeight w:val="315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E1B6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Пластуновского сельского поселения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D6BC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DF68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563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36E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DBFB" w14:textId="77777777" w:rsidR="00C52528" w:rsidRPr="00747444" w:rsidRDefault="00C52528" w:rsidP="00732C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7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А.А.Завгородний</w:t>
            </w:r>
            <w:proofErr w:type="spellEnd"/>
          </w:p>
        </w:tc>
      </w:tr>
    </w:tbl>
    <w:p w14:paraId="656236B8" w14:textId="77777777" w:rsidR="00C52528" w:rsidRDefault="00C52528" w:rsidP="00C52528">
      <w:pPr>
        <w:widowControl w:val="0"/>
        <w:spacing w:after="0" w:line="319" w:lineRule="exact"/>
        <w:ind w:left="368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633DA7D9" w14:textId="77777777" w:rsidR="00364567" w:rsidRDefault="00364567" w:rsidP="004A6584">
      <w:pPr>
        <w:widowControl w:val="0"/>
        <w:spacing w:after="0" w:line="319" w:lineRule="exact"/>
        <w:ind w:left="368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4F5D28B1" w14:textId="77777777" w:rsidR="00364567" w:rsidRDefault="00364567" w:rsidP="00023825">
      <w:pPr>
        <w:widowControl w:val="0"/>
        <w:spacing w:after="0" w:line="319" w:lineRule="exac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sectPr w:rsidR="00364567" w:rsidSect="00364567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14:paraId="43EEE79E" w14:textId="77777777" w:rsidR="004A6584" w:rsidRPr="004A6584" w:rsidRDefault="004A6584" w:rsidP="004A6584">
      <w:pPr>
        <w:widowControl w:val="0"/>
        <w:spacing w:after="0" w:line="319" w:lineRule="exact"/>
        <w:ind w:left="368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</w:p>
    <w:p w14:paraId="3F385FA8" w14:textId="7B8370DA" w:rsidR="004A6584" w:rsidRPr="004A6584" w:rsidRDefault="004A6584" w:rsidP="004A6584">
      <w:pPr>
        <w:widowControl w:val="0"/>
        <w:spacing w:after="287" w:line="319" w:lineRule="exact"/>
        <w:ind w:left="1380" w:hanging="2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к прогнозу социально-экономического развития Пластуновского сельского поселения муниципального образования Динской район на 202</w:t>
      </w:r>
      <w:r w:rsidR="00C525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5</w:t>
      </w: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0A1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6</w:t>
      </w: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-202</w:t>
      </w:r>
      <w:r w:rsidR="000A1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7</w:t>
      </w: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годов</w:t>
      </w:r>
    </w:p>
    <w:p w14:paraId="70BA7FE7" w14:textId="77777777" w:rsidR="004A6584" w:rsidRPr="00DA3A2A" w:rsidRDefault="004A6584" w:rsidP="004A6584">
      <w:pPr>
        <w:widowControl w:val="0"/>
        <w:tabs>
          <w:tab w:val="left" w:pos="841"/>
        </w:tabs>
        <w:spacing w:after="0" w:line="260" w:lineRule="exact"/>
        <w:ind w:left="50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A3A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1. Основные тенденции социально-экономического развития</w:t>
      </w:r>
    </w:p>
    <w:p w14:paraId="3DC9B2E2" w14:textId="72D0CBCD" w:rsidR="004A6584" w:rsidRDefault="004A6584" w:rsidP="004A6584">
      <w:pPr>
        <w:widowControl w:val="0"/>
        <w:spacing w:after="0" w:line="260" w:lineRule="exact"/>
        <w:ind w:firstLine="7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DA3A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Пластуновского сельского поселения в 20</w:t>
      </w:r>
      <w:r w:rsidR="004B0978" w:rsidRPr="00DA3A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2</w:t>
      </w:r>
      <w:r w:rsidR="000A1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DA3A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году</w:t>
      </w:r>
    </w:p>
    <w:p w14:paraId="44E9F644" w14:textId="77777777" w:rsidR="009C2E6E" w:rsidRDefault="009C2E6E" w:rsidP="004A6584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25B259DC" w14:textId="57940CE4" w:rsidR="004A6584" w:rsidRPr="00D60379" w:rsidRDefault="004A6584" w:rsidP="004A6584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Итоги 20</w:t>
      </w:r>
      <w:r w:rsidR="004B0978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D60379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 свидетельствуют о сохранении стабильной социально- экономической ситуации в поселении. Большинство секторов экономики на протяжении всего года демонстрировали устойчивую положительную динамику. </w:t>
      </w:r>
    </w:p>
    <w:p w14:paraId="462E1C92" w14:textId="1D57015B" w:rsidR="00A93AA3" w:rsidRPr="00023825" w:rsidRDefault="004A6584" w:rsidP="004A6584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 итогам 20</w:t>
      </w:r>
      <w:r w:rsidR="004B0978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D60379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 </w:t>
      </w:r>
      <w:r w:rsidR="00A93AA3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промышленном производстве</w:t>
      </w:r>
      <w:r w:rsidR="00D60379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произошел спад производства</w:t>
      </w:r>
      <w:r w:rsidR="00A93AA3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где динамика составила </w:t>
      </w:r>
      <w:r w:rsidR="00D60379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70,8</w:t>
      </w:r>
      <w:r w:rsidR="00A93AA3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 (в действующих </w:t>
      </w:r>
      <w:proofErr w:type="gramStart"/>
      <w:r w:rsidR="00A93AA3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ценах)  в</w:t>
      </w:r>
      <w:proofErr w:type="gramEnd"/>
      <w:r w:rsidR="00A93AA3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связи </w:t>
      </w:r>
      <w:r w:rsidR="00D60379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 сложной экономической ситуацией, сохранением санкционного давления</w:t>
      </w:r>
      <w:r w:rsidR="00A93AA3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 w:rsidR="009C2E6E" w:rsidRPr="00D60379">
        <w:t xml:space="preserve"> </w:t>
      </w:r>
      <w:r w:rsidR="009C2E6E" w:rsidRP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 фоне отрицательной динамики 2023 г. к 2022 г. достигнутые показатели по производству и отгрузке продукции (чай и кофе, приправы и пряности) в ОП</w:t>
      </w:r>
      <w:r w:rsidR="009C2E6E" w:rsidRPr="009C2E6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ООО "ТД-холдинг" превышают прогнозные</w:t>
      </w:r>
      <w:r w:rsidR="00D6037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720AEA19" w14:textId="3FC40926" w:rsidR="004A6584" w:rsidRPr="00023825" w:rsidRDefault="00A93AA3" w:rsidP="004A6584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</w:t>
      </w:r>
      <w:r w:rsidR="004A6584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сельском хозяйстве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наблюдается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рост показателя</w:t>
      </w:r>
      <w:r w:rsidR="004A6584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где динамика роста производства составила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105,1</w:t>
      </w:r>
      <w:r w:rsidR="004A6584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 (в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сопоставимых</w:t>
      </w:r>
      <w:r w:rsidR="004A6584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ценах) </w:t>
      </w:r>
      <w:r w:rsidR="00E93DE0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 причине благоприятных погодных условий - увеличение объемов продукции растениеводства (зерновых и зернобобовых культур, картофеля, овощей и плодов и ягод)</w:t>
      </w:r>
      <w:r w:rsidR="004A6584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 w:rsidR="004A6584" w:rsidRPr="0002382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7C3B1DA" w14:textId="4DF0C767" w:rsidR="00E93DE0" w:rsidRPr="00023825" w:rsidRDefault="00E93DE0" w:rsidP="004A6584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023825">
        <w:rPr>
          <w:rFonts w:ascii="Times New Roman" w:eastAsia="Times New Roman" w:hAnsi="Times New Roman"/>
          <w:sz w:val="28"/>
          <w:szCs w:val="28"/>
        </w:rPr>
        <w:t>Показали высокий рост следующие показатели: оборот розничной торговли (</w:t>
      </w:r>
      <w:r w:rsidR="001D3FEC">
        <w:rPr>
          <w:rFonts w:ascii="Times New Roman" w:eastAsia="Times New Roman" w:hAnsi="Times New Roman"/>
          <w:sz w:val="28"/>
          <w:szCs w:val="28"/>
        </w:rPr>
        <w:t>126,2</w:t>
      </w:r>
      <w:r w:rsidRPr="00023825">
        <w:rPr>
          <w:rFonts w:ascii="Times New Roman" w:eastAsia="Times New Roman" w:hAnsi="Times New Roman"/>
          <w:sz w:val="28"/>
          <w:szCs w:val="28"/>
        </w:rPr>
        <w:t xml:space="preserve"> %), оборот общественного питания (</w:t>
      </w:r>
      <w:r w:rsidR="001D3FEC">
        <w:rPr>
          <w:rFonts w:ascii="Times New Roman" w:eastAsia="Times New Roman" w:hAnsi="Times New Roman"/>
          <w:sz w:val="28"/>
          <w:szCs w:val="28"/>
        </w:rPr>
        <w:t>115,3</w:t>
      </w:r>
      <w:r w:rsidR="002930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825">
        <w:rPr>
          <w:rFonts w:ascii="Times New Roman" w:eastAsia="Times New Roman" w:hAnsi="Times New Roman"/>
          <w:sz w:val="28"/>
          <w:szCs w:val="28"/>
        </w:rPr>
        <w:t>%), объем услуг по транспортировке и хранению (</w:t>
      </w:r>
      <w:r w:rsidR="001D3FEC">
        <w:rPr>
          <w:rFonts w:ascii="Times New Roman" w:eastAsia="Times New Roman" w:hAnsi="Times New Roman"/>
          <w:sz w:val="28"/>
          <w:szCs w:val="28"/>
        </w:rPr>
        <w:t>106,7</w:t>
      </w:r>
      <w:r w:rsidRPr="00023825">
        <w:rPr>
          <w:rFonts w:ascii="Times New Roman" w:eastAsia="Times New Roman" w:hAnsi="Times New Roman"/>
          <w:sz w:val="28"/>
          <w:szCs w:val="28"/>
        </w:rPr>
        <w:t>%)</w:t>
      </w:r>
      <w:r w:rsidR="001D3FEC">
        <w:rPr>
          <w:rFonts w:ascii="Times New Roman" w:eastAsia="Times New Roman" w:hAnsi="Times New Roman"/>
          <w:sz w:val="28"/>
          <w:szCs w:val="28"/>
        </w:rPr>
        <w:t>, о</w:t>
      </w:r>
      <w:r w:rsidR="001D3FEC" w:rsidRPr="001D3FEC">
        <w:rPr>
          <w:rFonts w:ascii="Times New Roman" w:eastAsia="Times New Roman" w:hAnsi="Times New Roman"/>
          <w:sz w:val="28"/>
          <w:szCs w:val="28"/>
        </w:rPr>
        <w:t>бъем выполненных работ по виду деятельности "строительство"</w:t>
      </w:r>
      <w:r w:rsidR="001D3FEC">
        <w:rPr>
          <w:rFonts w:ascii="Times New Roman" w:eastAsia="Times New Roman" w:hAnsi="Times New Roman"/>
          <w:sz w:val="28"/>
          <w:szCs w:val="28"/>
        </w:rPr>
        <w:t xml:space="preserve"> (113,2 %)</w:t>
      </w:r>
      <w:r w:rsidRPr="00023825">
        <w:rPr>
          <w:rFonts w:ascii="Times New Roman" w:eastAsia="Times New Roman" w:hAnsi="Times New Roman"/>
          <w:sz w:val="28"/>
          <w:szCs w:val="28"/>
        </w:rPr>
        <w:t>.</w:t>
      </w:r>
    </w:p>
    <w:p w14:paraId="198AB9E9" w14:textId="17AF6BB7" w:rsidR="003D7B6C" w:rsidRPr="00023825" w:rsidRDefault="003D7B6C" w:rsidP="004A6584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Сальдированный финансовый результат по по</w:t>
      </w:r>
      <w:r w:rsidR="00E813C6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лному кругу организаций 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снизился</w:t>
      </w:r>
      <w:r w:rsidR="00E813C6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исполнение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составил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24,8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%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Прибыль прибыльных предприятий по полному кругу организаций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выросла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23,2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%.</w:t>
      </w:r>
      <w:r w:rsidR="00293033" w:rsidRP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14:paraId="7A0ADE95" w14:textId="410AC550" w:rsidR="004A6584" w:rsidRPr="00023825" w:rsidRDefault="004A6584" w:rsidP="004A6584">
      <w:pPr>
        <w:widowControl w:val="0"/>
        <w:tabs>
          <w:tab w:val="left" w:pos="7639"/>
        </w:tabs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Инвестиции в основной капитал за счет всех источников финансирования выросли в 20</w:t>
      </w:r>
      <w:r w:rsidR="003D7B6C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году</w:t>
      </w:r>
      <w:r w:rsidR="00E813C6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  <w:r w:rsidR="003D7B6C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813C6"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динамика роста составила 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144,0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%.</w:t>
      </w:r>
    </w:p>
    <w:p w14:paraId="0E09EA26" w14:textId="0E3CA8EE" w:rsidR="004A6584" w:rsidRPr="004A6584" w:rsidRDefault="004A6584" w:rsidP="004A6584">
      <w:pPr>
        <w:widowControl w:val="0"/>
        <w:tabs>
          <w:tab w:val="left" w:pos="7639"/>
        </w:tabs>
        <w:spacing w:after="0" w:line="307" w:lineRule="exact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Среднемесячная заработная плата работников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организаций в 20</w:t>
      </w:r>
      <w:r w:rsidR="003D7B6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году достигла 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8 334,2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рублей, динамика роста составила 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11,3</w:t>
      </w:r>
      <w:r w:rsidR="003D7B6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 к 20</w:t>
      </w:r>
      <w:r w:rsid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году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2D687C90" w14:textId="202D1B5A" w:rsidR="00293033" w:rsidRDefault="004A6584" w:rsidP="003D7B6C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Численность постоянного населения </w:t>
      </w:r>
      <w:r w:rsid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среднегодовая за 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20</w:t>
      </w:r>
      <w:r w:rsidR="00DF1D8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 состав</w:t>
      </w:r>
      <w:r w:rsid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ила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10,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843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тыс. человек. </w:t>
      </w:r>
      <w:r w:rsidR="00293033" w:rsidRP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Оценочные данные 202</w:t>
      </w:r>
      <w:r w:rsid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="00293033" w:rsidRPr="0029303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г. определены на основе отчетных данных 2021 г., сформированных на основе данных Всероссийской переписи населения-2020</w:t>
      </w:r>
      <w:r w:rsidR="00293033" w:rsidRP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9C2E6E" w:rsidRPr="001D3FE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2023 г. снижение численности населения из-за сохранения естественной убыли населения (на фоне увеличения рождаемости и сокращения смертности), некомпенсируемой миграционным притоком (миграционный приток в 4,3 раза меньше естественной убыли населения).</w:t>
      </w:r>
    </w:p>
    <w:p w14:paraId="1C7F621A" w14:textId="130714BF" w:rsidR="00E813C6" w:rsidRDefault="001D3FEC" w:rsidP="003D7B6C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</w:t>
      </w:r>
      <w:r w:rsidR="00E813C6" w:rsidRP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оход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ы</w:t>
      </w:r>
      <w:r w:rsidR="00E813C6" w:rsidRP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предприятий курортно-туристического комплекса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сравнению с 2022 годом выросли почти в 7 раз и </w:t>
      </w:r>
      <w:r w:rsidR="003D7B6C"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составил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и116,7 млн. рублей</w:t>
      </w:r>
      <w:r w:rsidR="00E813C6" w:rsidRPr="00E813C6">
        <w:t xml:space="preserve"> </w:t>
      </w:r>
      <w:r w:rsidR="00E813C6" w:rsidRP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ввиду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снятия</w:t>
      </w:r>
      <w:r w:rsidR="00E813C6" w:rsidRP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ограничительных мер из-за пандемии коронавирусной инфекции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санкционной политики ряда стран</w:t>
      </w:r>
      <w:r w:rsidR="00E813C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5DE3455A" w14:textId="7EE0671B" w:rsidR="003D7B6C" w:rsidRDefault="00023825" w:rsidP="003D7B6C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Численность работающих для расчета среднемесячной заработной платы 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увеличилась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2,5</w:t>
      </w:r>
      <w:r w:rsidR="00F37EC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3D7B6C"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%</w:t>
      </w:r>
      <w:r w:rsidRPr="00023825">
        <w:t xml:space="preserve"> 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из-за 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снятия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ограничительных мер в связи с пандемией коронавирусной инфекции</w:t>
      </w:r>
      <w:r w:rsidR="003D7B6C"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Снижен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реднесписочн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ая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численност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ь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работников субъектов МСП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человек или на 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 </w:t>
      </w:r>
      <w:r w:rsidR="006033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связи с </w:t>
      </w:r>
      <w:r w:rsidRPr="000238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переходом ИП в самозанятые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30D13DE9" w14:textId="77777777" w:rsidR="009C2E6E" w:rsidRPr="004A6584" w:rsidRDefault="009C2E6E" w:rsidP="003D7B6C">
      <w:pPr>
        <w:widowControl w:val="0"/>
        <w:spacing w:after="0" w:line="307" w:lineRule="exact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5B8D8546" w14:textId="77777777" w:rsidR="004A6584" w:rsidRPr="004A6584" w:rsidRDefault="004A6584" w:rsidP="004A6584">
      <w:pPr>
        <w:widowControl w:val="0"/>
        <w:spacing w:after="0" w:line="322" w:lineRule="exact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2. Основные ключевые моменты, характеризующие ситуацию</w:t>
      </w:r>
    </w:p>
    <w:p w14:paraId="5F3EAC2A" w14:textId="77777777" w:rsidR="004A6584" w:rsidRPr="004A6584" w:rsidRDefault="004A6584" w:rsidP="004A6584">
      <w:pPr>
        <w:widowControl w:val="0"/>
        <w:spacing w:after="0" w:line="322" w:lineRule="exact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в экономике Пластуновского сельского поселения</w:t>
      </w:r>
    </w:p>
    <w:p w14:paraId="025FAA04" w14:textId="3F09B1B5" w:rsidR="004A6584" w:rsidRPr="004A6584" w:rsidRDefault="004A6584" w:rsidP="004A6584">
      <w:pPr>
        <w:widowControl w:val="0"/>
        <w:spacing w:after="0" w:line="322" w:lineRule="exact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в январе-октябре 202</w:t>
      </w:r>
      <w:r w:rsidR="000A13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4</w:t>
      </w:r>
      <w:r w:rsidRPr="004A65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года</w:t>
      </w:r>
    </w:p>
    <w:p w14:paraId="2B0A1E5E" w14:textId="77777777" w:rsidR="004A6584" w:rsidRPr="004A6584" w:rsidRDefault="004A6584" w:rsidP="004A6584">
      <w:pPr>
        <w:widowControl w:val="0"/>
        <w:spacing w:after="0" w:line="322" w:lineRule="exact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3E3BB77F" w14:textId="77777777" w:rsidR="004A6584" w:rsidRPr="007C11C9" w:rsidRDefault="004A6584" w:rsidP="004A6584">
      <w:pPr>
        <w:widowControl w:val="0"/>
        <w:spacing w:after="0" w:line="312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Оперативные статистические данные за 10 месяцев текущего года свидетельствуют о стабильной экономической ситуации в поселении. </w:t>
      </w:r>
      <w:r w:rsidR="00F37EC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Все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отрасл</w:t>
      </w:r>
      <w:r w:rsidR="00F37EC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экономики </w:t>
      </w:r>
      <w:r w:rsidR="00F37EC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показали положительную динамику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13FB4839" w14:textId="68EBF790" w:rsidR="004A6584" w:rsidRPr="007C11C9" w:rsidRDefault="004A6584" w:rsidP="004A6584">
      <w:pPr>
        <w:widowControl w:val="0"/>
        <w:spacing w:after="0" w:line="310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Объём промышленного производства </w:t>
      </w:r>
      <w:r w:rsidR="00023825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ожидается на уровне </w:t>
      </w:r>
      <w:r w:rsidR="00DA3A2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616,8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млн. руб. с индексом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123,7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%.</w:t>
      </w:r>
      <w:r w:rsidR="00254B51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связи с ростом</w:t>
      </w:r>
      <w:r w:rsidR="00254B51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деловой активности ОП ООО "ТД-Холдинг", малого бизнеса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2A0E7851" w14:textId="77777777" w:rsidR="004A6584" w:rsidRPr="007C11C9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 рынках товаров и услуг все сегменты показали рост, что связано с увеличением доходов и покупательной способности населения.</w:t>
      </w:r>
    </w:p>
    <w:p w14:paraId="082A8B74" w14:textId="7E3D89B4" w:rsidR="004A6584" w:rsidRPr="007C11C9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Розничный товарооборот </w:t>
      </w:r>
      <w:r w:rsidR="00023825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ожидает 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увелич</w:t>
      </w:r>
      <w:r w:rsidR="00023825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ения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126,8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%, до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2 415</w:t>
      </w:r>
      <w:r w:rsidR="00023825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,0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млн руб. Оборот общественного питания </w:t>
      </w:r>
      <w:r w:rsidR="00023825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</w:t>
      </w:r>
      <w:r w:rsidR="00F37EC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118,9</w:t>
      </w:r>
      <w:r w:rsidR="00F37EC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 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составил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85</w:t>
      </w:r>
      <w:r w:rsidR="00023825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,0</w:t>
      </w:r>
      <w:r w:rsidR="00F37ECA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млн руб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63349451" w14:textId="08906957" w:rsidR="004A6584" w:rsidRPr="004A6584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Среднемесячная заработная плата одного работника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ожидается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51 319,4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руб., что на </w:t>
      </w:r>
      <w:r w:rsidR="007C11C9"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106,2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023825" w:rsidRPr="007C11C9">
        <w:rPr>
          <w:rFonts w:ascii="Times New Roman" w:eastAsia="Sylfaen" w:hAnsi="Times New Roman"/>
          <w:iCs/>
          <w:color w:val="000000"/>
          <w:sz w:val="28"/>
          <w:szCs w:val="28"/>
          <w:lang w:eastAsia="ru-RU" w:bidi="ru-RU"/>
        </w:rPr>
        <w:t>%</w:t>
      </w:r>
      <w:r w:rsidRP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превышает уровень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оплаты труда в </w:t>
      </w:r>
      <w:r w:rsidR="00F37EC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202</w:t>
      </w:r>
      <w:r w:rsid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</w:t>
      </w:r>
      <w:r w:rsidR="00F37EC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</w:p>
    <w:p w14:paraId="732AC396" w14:textId="4117F2A0" w:rsidR="004A6584" w:rsidRPr="004A6584" w:rsidRDefault="004A6584" w:rsidP="004A6584">
      <w:pPr>
        <w:widowControl w:val="0"/>
        <w:spacing w:after="0" w:line="302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Уровень регистрируемой безработицы на фоне пандемии COVID-19 </w:t>
      </w:r>
      <w:r w:rsidR="006D555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2020 (2,0 %)</w:t>
      </w:r>
      <w:r w:rsidR="00DA3A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  <w:r w:rsidR="006D555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2021 года (1,1 %)</w:t>
      </w:r>
      <w:r w:rsid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2022 года (0,6)</w:t>
      </w:r>
      <w:r w:rsidR="006D555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снизился в 202</w:t>
      </w:r>
      <w:r w:rsid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</w:t>
      </w:r>
      <w:r w:rsidR="006D555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году до 0,</w:t>
      </w:r>
      <w:r w:rsid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6D555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% 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 численности трудоспособного населения</w:t>
      </w:r>
      <w:r w:rsidR="006D555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трудоспособном возрасте</w:t>
      </w:r>
      <w:r w:rsidR="00DA3A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остался на том же уровне и в 202</w:t>
      </w:r>
      <w:r w:rsid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r w:rsidR="00DA3A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году (0,</w:t>
      </w:r>
      <w:r w:rsidR="007C11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DA3A2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%)</w:t>
      </w:r>
      <w:r w:rsidRPr="004A65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4A9E3B5E" w14:textId="77777777" w:rsidR="004A6584" w:rsidRPr="004A6584" w:rsidRDefault="004A6584" w:rsidP="004A6584">
      <w:pPr>
        <w:widowControl w:val="0"/>
        <w:spacing w:after="0" w:line="302" w:lineRule="exac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35851F3" w14:textId="6546B2C5" w:rsidR="004A6584" w:rsidRPr="00784CF8" w:rsidRDefault="004A6584" w:rsidP="004A6584">
      <w:pPr>
        <w:widowControl w:val="0"/>
        <w:tabs>
          <w:tab w:val="left" w:pos="863"/>
        </w:tabs>
        <w:spacing w:after="0" w:line="605" w:lineRule="exact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3. Оценка 202</w:t>
      </w:r>
      <w:r w:rsidR="000A134B"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4</w:t>
      </w:r>
      <w:r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 xml:space="preserve"> года и прогноз на 202</w:t>
      </w:r>
      <w:r w:rsidR="000A134B"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5</w:t>
      </w:r>
      <w:r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-202</w:t>
      </w:r>
      <w:r w:rsidR="000A134B"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7</w:t>
      </w:r>
      <w:r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 xml:space="preserve"> годы</w:t>
      </w:r>
    </w:p>
    <w:p w14:paraId="5E4CB815" w14:textId="77777777" w:rsidR="004A6584" w:rsidRPr="00784CF8" w:rsidRDefault="004A6584" w:rsidP="004A6584">
      <w:pPr>
        <w:widowControl w:val="0"/>
        <w:tabs>
          <w:tab w:val="left" w:pos="0"/>
        </w:tabs>
        <w:spacing w:after="0" w:line="605" w:lineRule="exact"/>
        <w:ind w:firstLine="851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 w:rsidRPr="00784CF8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3.1. Население</w:t>
      </w:r>
    </w:p>
    <w:p w14:paraId="556F2CA8" w14:textId="097CA1CC" w:rsidR="00784CF8" w:rsidRPr="00784CF8" w:rsidRDefault="00784CF8" w:rsidP="004A6584">
      <w:pPr>
        <w:widowControl w:val="0"/>
        <w:tabs>
          <w:tab w:val="left" w:pos="0"/>
        </w:tabs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прогнозный период 2024-2026 годов предполагается сохранение тенденции снижения численности жителей с затуханием темпов (с 99,3 до 99,7%) за счет сокращения смертности и естественной убыли, сокращения миграционного оттока и восстановления миграционного притока в связи со стабилизацией экономической и геополитической обстановки</w:t>
      </w: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14:paraId="403EF18B" w14:textId="481D8CC7" w:rsidR="00F37ECA" w:rsidRPr="00784CF8" w:rsidRDefault="00784CF8" w:rsidP="004A6584">
      <w:pPr>
        <w:widowControl w:val="0"/>
        <w:tabs>
          <w:tab w:val="left" w:pos="0"/>
        </w:tabs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Прогноз 2024 г. </w:t>
      </w:r>
      <w:r w:rsidR="00F37ECA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оцен</w:t>
      </w: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ивается </w:t>
      </w:r>
      <w:r w:rsidR="006B11BE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на </w:t>
      </w:r>
      <w:r w:rsidR="007C11C9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75</w:t>
      </w:r>
      <w:r w:rsidR="006B11BE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человек </w:t>
      </w: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ниже показателя 2023 года. </w:t>
      </w:r>
    </w:p>
    <w:p w14:paraId="2E7F440B" w14:textId="44116046" w:rsidR="004A6584" w:rsidRPr="004A6584" w:rsidRDefault="004A6584" w:rsidP="004A6584">
      <w:pPr>
        <w:widowControl w:val="0"/>
        <w:spacing w:after="0" w:line="31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результате, прогнозируемая среднегодовая численность постоянного населения поселения в 202</w:t>
      </w:r>
      <w:r w:rsidR="007C11C9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прогнозируется </w:t>
      </w:r>
      <w:r w:rsidR="00F06BF6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10,</w:t>
      </w:r>
      <w:r w:rsidR="00DA3A2A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740</w:t>
      </w:r>
      <w:r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тыс. человек, что на </w:t>
      </w:r>
      <w:r w:rsidR="00C827DF" w:rsidRP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28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человек </w:t>
      </w:r>
      <w:r w:rsid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ниже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оценки 202</w:t>
      </w:r>
      <w:r w:rsidR="007C11C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года. </w:t>
      </w:r>
    </w:p>
    <w:p w14:paraId="63623781" w14:textId="580842BB" w:rsidR="004A6584" w:rsidRDefault="004A6584" w:rsidP="004A6584">
      <w:pPr>
        <w:widowControl w:val="0"/>
        <w:spacing w:after="286" w:line="31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 202</w:t>
      </w:r>
      <w:r w:rsidR="00C827DF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среднегодовая численность постоянного населения поселения предположительно </w:t>
      </w:r>
      <w:r w:rsid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снизится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на </w:t>
      </w:r>
      <w:r w:rsidR="00DA3A2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0,3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 к 20</w:t>
      </w:r>
      <w:r w:rsid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="00DA3A2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году, и составит </w:t>
      </w:r>
      <w:r w:rsid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10,</w:t>
      </w:r>
      <w:r w:rsidR="00DA3A2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6</w:t>
      </w:r>
      <w:r w:rsidR="00784CF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тыс. человек за счет </w:t>
      </w:r>
      <w:r w:rsidR="00F06BF6" w:rsidRP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естественной убыли </w:t>
      </w:r>
      <w:r w:rsid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и </w:t>
      </w:r>
      <w:r w:rsidR="00F06BF6" w:rsidRPr="00F06BF6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восстановления миграционного притока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14:paraId="49F84414" w14:textId="77777777" w:rsidR="004A6584" w:rsidRPr="004A6584" w:rsidRDefault="004A6584" w:rsidP="004A6584">
      <w:pPr>
        <w:widowControl w:val="0"/>
        <w:tabs>
          <w:tab w:val="left" w:pos="0"/>
        </w:tabs>
        <w:spacing w:after="0" w:line="307" w:lineRule="exact"/>
        <w:ind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b/>
          <w:sz w:val="26"/>
          <w:szCs w:val="26"/>
          <w:lang w:eastAsia="ru-RU" w:bidi="ru-RU"/>
        </w:rPr>
        <w:t>3.2. Промышленное производство</w:t>
      </w:r>
    </w:p>
    <w:p w14:paraId="5458828A" w14:textId="254815CD" w:rsidR="004A6584" w:rsidRPr="004A6584" w:rsidRDefault="004A6584" w:rsidP="004A6584">
      <w:pPr>
        <w:widowControl w:val="0"/>
        <w:tabs>
          <w:tab w:val="left" w:pos="0"/>
        </w:tabs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sz w:val="26"/>
          <w:szCs w:val="26"/>
          <w:lang w:eastAsia="ru-RU" w:bidi="ru-RU"/>
        </w:rPr>
        <w:t>Предполагается, что по итогам 202</w:t>
      </w:r>
      <w:r w:rsidR="000607D8">
        <w:rPr>
          <w:rFonts w:ascii="Times New Roman" w:eastAsia="Times New Roman" w:hAnsi="Times New Roman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года индекс промышленного производства составит </w:t>
      </w:r>
      <w:r w:rsidR="000607D8">
        <w:rPr>
          <w:rFonts w:ascii="Times New Roman" w:eastAsia="Times New Roman" w:hAnsi="Times New Roman"/>
          <w:sz w:val="26"/>
          <w:szCs w:val="26"/>
          <w:lang w:eastAsia="ru-RU" w:bidi="ru-RU"/>
        </w:rPr>
        <w:t>123,7</w:t>
      </w:r>
      <w:r w:rsidRPr="004A6584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%</w:t>
      </w:r>
      <w:r w:rsidR="000607D8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на фоне падения 2023 года (70,8 %)</w:t>
      </w:r>
      <w:r w:rsidRPr="004A6584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, а суммарный </w:t>
      </w:r>
      <w:r w:rsidRPr="004A6584">
        <w:rPr>
          <w:rFonts w:ascii="Times New Roman" w:eastAsia="Times New Roman" w:hAnsi="Times New Roman"/>
          <w:sz w:val="26"/>
          <w:szCs w:val="26"/>
          <w:lang w:eastAsia="ru-RU" w:bidi="ru-RU"/>
        </w:rPr>
        <w:lastRenderedPageBreak/>
        <w:t xml:space="preserve">объем отгрузки промышленной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продукции достигнет </w:t>
      </w:r>
      <w:r w:rsidR="000607D8">
        <w:rPr>
          <w:rFonts w:ascii="Times New Roman" w:eastAsia="Times New Roman" w:hAnsi="Times New Roman"/>
          <w:sz w:val="26"/>
          <w:szCs w:val="26"/>
          <w:lang w:eastAsia="ru-RU" w:bidi="ru-RU"/>
        </w:rPr>
        <w:t>1 616,8</w:t>
      </w:r>
      <w:r w:rsidRPr="004A6584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млн. руб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 w:rsidR="006B11BE" w:rsidRPr="006B11B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Оценочный показатель 202</w:t>
      </w:r>
      <w:r w:rsidR="000607D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="006B11BE" w:rsidRPr="006B11B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г. </w:t>
      </w:r>
      <w:r w:rsid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повышен</w:t>
      </w:r>
      <w:r w:rsidR="006B11BE" w:rsidRPr="006B11B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ввиду </w:t>
      </w:r>
      <w:r w:rsid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</w:t>
      </w:r>
      <w:r w:rsidR="005A13A2" w:rsidRP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аращивани</w:t>
      </w:r>
      <w:r w:rsid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="005A13A2" w:rsidRP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объемов производства продукции ОП ООО "ТД-холдинг"</w:t>
      </w:r>
      <w:r w:rsid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5A13A2" w:rsidRP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Перспективы положительных темпов связаны с реализацией комплекса системных мер, направленных на повышение конкурентоспособности товаропроизводителей и рост импортозамещения в секторах промышленности.</w:t>
      </w:r>
    </w:p>
    <w:p w14:paraId="6294C8B7" w14:textId="23EE8B8A" w:rsidR="004A6584" w:rsidRPr="004A6584" w:rsidRDefault="004A6584" w:rsidP="004A6584">
      <w:pPr>
        <w:widowControl w:val="0"/>
        <w:spacing w:after="0" w:line="31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202</w:t>
      </w:r>
      <w:r w:rsidR="000607D8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суммарный объем отгрузки промышленной продукции </w:t>
      </w:r>
      <w:r w:rsidR="006B11B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составит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1 734,4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тыс. рублей.</w:t>
      </w:r>
    </w:p>
    <w:p w14:paraId="6F41C041" w14:textId="77777777" w:rsidR="00740744" w:rsidRDefault="004A6584" w:rsidP="00740744">
      <w:pPr>
        <w:widowControl w:val="0"/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целом прогнозом предусматривается, что в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годах среднегодовой индекс промышленного производства в поселении будет находиться в пределах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107,3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—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108,5</w:t>
      </w:r>
      <w:r w:rsidR="006B11B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5A13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%.</w:t>
      </w:r>
      <w:r w:rsid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14:paraId="335C67A7" w14:textId="155F41A7" w:rsidR="00254B51" w:rsidRDefault="00254B51" w:rsidP="00740744">
      <w:pPr>
        <w:widowControl w:val="0"/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Прогноз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</w:t>
      </w:r>
      <w:r w:rsidRP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2026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- </w:t>
      </w:r>
      <w:r w:rsidR="00740744" w:rsidRP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2027 г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оды.</w:t>
      </w:r>
      <w:r w:rsidR="00740744" w:rsidRP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условиях сохранения санкционных ограничений, повышения внутренн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е</w:t>
      </w:r>
      <w:r w:rsidRPr="00254B5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 спроса за счет реализации программ по импортозамещению, укрепления технологического суверенитета прогнозируется сохранение промышленными предприятиями профиля своей деятельности и увеличение объемов производства и отгрузки выпускаемой продукции. Этому будут способствовать повышение деловой активности предприятий, выполнение заключенных договоров на поставку продукции, наращивание загрузки производственных мощностей, повышение производительности труда, развитие сопутствующих сервисов, реализация инвестиционных проектов и запуск новых производств</w:t>
      </w:r>
    </w:p>
    <w:p w14:paraId="2B57F60C" w14:textId="77777777" w:rsidR="00740744" w:rsidRDefault="00740744" w:rsidP="004A6584">
      <w:pPr>
        <w:widowControl w:val="0"/>
        <w:tabs>
          <w:tab w:val="left" w:pos="1314"/>
        </w:tabs>
        <w:spacing w:after="252" w:line="260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14:paraId="6A5DE889" w14:textId="02665859" w:rsidR="004A6584" w:rsidRPr="004A6584" w:rsidRDefault="004A6584" w:rsidP="004A6584">
      <w:pPr>
        <w:widowControl w:val="0"/>
        <w:tabs>
          <w:tab w:val="left" w:pos="1314"/>
        </w:tabs>
        <w:spacing w:after="252" w:line="260" w:lineRule="exact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3.3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Сельское хозяйство</w:t>
      </w:r>
    </w:p>
    <w:p w14:paraId="2FAEBFB7" w14:textId="429738D8" w:rsidR="004A6584" w:rsidRPr="004A6584" w:rsidRDefault="006B11BE" w:rsidP="004A6584">
      <w:pPr>
        <w:widowControl w:val="0"/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</w:t>
      </w:r>
      <w:r w:rsidR="004A6584"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="004A6584"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ожидается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рост </w:t>
      </w:r>
      <w:r w:rsidR="004A6584"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объема валовой продукции сельского хозяйства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до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2 984,7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</w:t>
      </w:r>
      <w:r w:rsidR="004A6584"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(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104,9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%) п</w:t>
      </w:r>
      <w:r w:rsidR="00AB70A3" w:rsidRP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 причине 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значительного роста </w:t>
      </w:r>
      <w:r w:rsidR="004A6584"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стоимость валовой продукции сельского хозяйства в объеме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и роста валового продукта</w:t>
      </w:r>
      <w:r w:rsidR="004A6584"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14:paraId="5DFD9CA8" w14:textId="2E23F19C" w:rsidR="004A6584" w:rsidRPr="004A6584" w:rsidRDefault="004A6584" w:rsidP="004A6584">
      <w:pPr>
        <w:widowControl w:val="0"/>
        <w:spacing w:after="0" w:line="307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среднесрочной перспективе прогнозируется положительное развитие. Прогнозом предусматривается прирост валовой продукции сельского хозяйства за три года (202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—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гг.)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113,0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 (в сопоставимых ценах к уровню 20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года).</w:t>
      </w:r>
    </w:p>
    <w:p w14:paraId="656FB651" w14:textId="78B4838B" w:rsidR="004A6584" w:rsidRPr="004A6584" w:rsidRDefault="004A6584" w:rsidP="004A6584">
      <w:pPr>
        <w:widowControl w:val="0"/>
        <w:spacing w:after="0" w:line="278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прогнозируемый объем продукции сельского хозяйства составит 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 374,2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 руб.</w:t>
      </w:r>
    </w:p>
    <w:p w14:paraId="09B220BD" w14:textId="77777777" w:rsidR="004A6584" w:rsidRPr="004A6584" w:rsidRDefault="004A6584" w:rsidP="004A6584">
      <w:pPr>
        <w:widowControl w:val="0"/>
        <w:spacing w:after="0" w:line="278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14:paraId="119EA7F0" w14:textId="77777777" w:rsidR="004A6584" w:rsidRPr="004A6584" w:rsidRDefault="004A6584" w:rsidP="004A6584">
      <w:pPr>
        <w:widowControl w:val="0"/>
        <w:tabs>
          <w:tab w:val="left" w:pos="1709"/>
        </w:tabs>
        <w:spacing w:after="252" w:line="260" w:lineRule="exact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3.4 Потребительская сфера</w:t>
      </w:r>
    </w:p>
    <w:p w14:paraId="0E9D5B49" w14:textId="0FADBC7D" w:rsidR="004A6584" w:rsidRPr="004A6584" w:rsidRDefault="004A6584" w:rsidP="004A6584">
      <w:pPr>
        <w:widowControl w:val="0"/>
        <w:tabs>
          <w:tab w:val="left" w:pos="3502"/>
        </w:tabs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Ожидаемый итог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 по обороту розничной торговли оценивается в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  <w:t>2 415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,0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с приростом к 20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26,8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%.</w:t>
      </w:r>
    </w:p>
    <w:p w14:paraId="45C3C2BB" w14:textId="05061844" w:rsidR="004A6584" w:rsidRPr="004A6584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Оборот розничной торговли в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прогнозируется в сумме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2 857,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0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с приростом относительно оценки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18,3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%. </w:t>
      </w:r>
    </w:p>
    <w:p w14:paraId="02125727" w14:textId="67F60B61" w:rsidR="004A6584" w:rsidRPr="004A6584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году розничный товарооборот может превысить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3 340,5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с приростом к 20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</w:t>
      </w:r>
      <w:r w:rsidR="00AB70A3" w:rsidRPr="00AB70A3">
        <w:rPr>
          <w:rFonts w:ascii="Times New Roman" w:eastAsia="Times New Roman" w:hAnsi="Times New Roman"/>
          <w:bCs/>
          <w:color w:val="000000"/>
          <w:sz w:val="26"/>
          <w:szCs w:val="26"/>
          <w:lang w:eastAsia="ru-RU" w:bidi="ru-RU"/>
        </w:rPr>
        <w:t>в</w:t>
      </w:r>
      <w:r w:rsidRPr="004A6584">
        <w:rPr>
          <w:rFonts w:ascii="Times New Roman" w:eastAsia="Times New Roman" w:hAnsi="Times New Roman"/>
          <w:b/>
          <w:bCs/>
          <w:color w:val="000000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сопоставимых ценах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38,3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%.</w:t>
      </w:r>
    </w:p>
    <w:p w14:paraId="14A63722" w14:textId="79C23EF1" w:rsidR="007960CA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 итогам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 оборот общественного питания оценивается в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85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,0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– 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рост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 20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18,9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%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14:paraId="479DBD2A" w14:textId="4A8352B4" w:rsidR="004A6584" w:rsidRPr="004A6584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оборот общественного питания прогнозируется в сумме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89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,0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с приростом относительно оценки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4,7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%. </w:t>
      </w:r>
    </w:p>
    <w:p w14:paraId="096ECC61" w14:textId="0D05EF7C" w:rsidR="004A6584" w:rsidRPr="004A6584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оборот общественного питания может возрасти до 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9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7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,0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с приростом к 20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 в сопоставимых ценах на 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14,1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%.</w:t>
      </w:r>
    </w:p>
    <w:p w14:paraId="7AA349BA" w14:textId="77777777" w:rsidR="004A6584" w:rsidRPr="004A6584" w:rsidRDefault="004A6584" w:rsidP="004A6584">
      <w:pPr>
        <w:widowControl w:val="0"/>
        <w:spacing w:after="0" w:line="305" w:lineRule="exact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14:paraId="65505004" w14:textId="77777777" w:rsidR="004A6584" w:rsidRPr="004A6584" w:rsidRDefault="004A6584" w:rsidP="004A6584">
      <w:pPr>
        <w:widowControl w:val="0"/>
        <w:spacing w:after="254" w:line="260" w:lineRule="exact"/>
        <w:ind w:firstLine="80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3.5. Инвестиции</w:t>
      </w:r>
    </w:p>
    <w:p w14:paraId="551A9593" w14:textId="426FA1FA" w:rsidR="004A6584" w:rsidRPr="004A6584" w:rsidRDefault="004A6584" w:rsidP="004A6584">
      <w:pPr>
        <w:widowControl w:val="0"/>
        <w:spacing w:after="0" w:line="307" w:lineRule="exact"/>
        <w:ind w:firstLine="8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инвестиционной деятельности прогнозируется объем инвестиций в основной капитал в 202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году</w:t>
      </w:r>
      <w:r w:rsidR="0074074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на уровне 2023 года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 которы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й</w:t>
      </w:r>
      <w:r w:rsidR="007960C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состав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ит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196,4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млн. руб. </w:t>
      </w:r>
    </w:p>
    <w:p w14:paraId="77E9065C" w14:textId="7A91F0A3" w:rsidR="004A6584" w:rsidRPr="004A6584" w:rsidRDefault="004A6584" w:rsidP="004A6584">
      <w:pPr>
        <w:widowControl w:val="0"/>
        <w:spacing w:after="0" w:line="307" w:lineRule="exact"/>
        <w:ind w:firstLine="8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Прогноз на 202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5 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по этому показателю составляет 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196,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тыс. рублей 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на уровне 2023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- 2024</w:t>
      </w:r>
      <w:r w:rsidR="007744CC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ов</w:t>
      </w:r>
      <w:r w:rsidR="008066F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14:paraId="41A5EF15" w14:textId="41AB1C77" w:rsidR="004A6584" w:rsidRPr="004A6584" w:rsidRDefault="004A6584" w:rsidP="004A6584">
      <w:pPr>
        <w:widowControl w:val="0"/>
        <w:spacing w:after="0" w:line="307" w:lineRule="exact"/>
        <w:ind w:firstLine="8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202</w:t>
      </w:r>
      <w:r w:rsidR="008066F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6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- 2027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</w:t>
      </w:r>
      <w:r w:rsidR="00E90EC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ах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объем инвестиций в экономику поселения по прогнозу </w:t>
      </w:r>
      <w:r w:rsidR="00AB70A3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останется на уровне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196,</w:t>
      </w:r>
      <w:r w:rsidR="008066F1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 млн. руб</w:t>
      </w:r>
      <w:r w:rsidRPr="004A6584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14:paraId="15D1D59E" w14:textId="77777777" w:rsidR="004A6584" w:rsidRPr="004A6584" w:rsidRDefault="004A6584" w:rsidP="004A6584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FCD1D6" w14:textId="77777777" w:rsidR="004A6584" w:rsidRPr="004A6584" w:rsidRDefault="004A6584" w:rsidP="004A6584">
      <w:pPr>
        <w:tabs>
          <w:tab w:val="left" w:pos="0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A6584">
        <w:rPr>
          <w:rFonts w:ascii="Times New Roman" w:hAnsi="Times New Roman"/>
          <w:b/>
          <w:sz w:val="28"/>
          <w:szCs w:val="28"/>
        </w:rPr>
        <w:t>3.6. Социально-трудовая сфера</w:t>
      </w:r>
    </w:p>
    <w:p w14:paraId="570AC480" w14:textId="58D91FAD" w:rsidR="004A6584" w:rsidRPr="004A6584" w:rsidRDefault="004A6584" w:rsidP="004A658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6584">
        <w:rPr>
          <w:rFonts w:ascii="Times New Roman" w:eastAsia="Times New Roman" w:hAnsi="Times New Roman"/>
          <w:bCs/>
          <w:sz w:val="28"/>
          <w:szCs w:val="28"/>
          <w:lang w:eastAsia="ar-SA"/>
        </w:rPr>
        <w:t>Фонд заработной платы по полному кругу предприятий и организаций</w:t>
      </w:r>
      <w:r w:rsidRPr="004A658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в 202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ожидается 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 279,7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млн. рублей с ростом на 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9,7</w:t>
      </w:r>
      <w:r w:rsidR="0085506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% к 20</w:t>
      </w:r>
      <w:r w:rsidR="00855063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 В 202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-202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годах темпы роста фонда заработной платы прогнозируются в рамках 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>0,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="00AB70A3"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>8,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5506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%.</w:t>
      </w:r>
    </w:p>
    <w:p w14:paraId="4039CEB8" w14:textId="08DE34A1" w:rsidR="00E90ECD" w:rsidRDefault="004A6584" w:rsidP="00E90ECD">
      <w:pPr>
        <w:tabs>
          <w:tab w:val="left" w:pos="0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В 202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темп роста среднемесячной заработной платы по полному кругу предприятий и организаций 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>ожидается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106,2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% к 20</w:t>
      </w:r>
      <w:r w:rsidR="00855063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(номинал 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51 319,4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 xml:space="preserve"> руб.), в последующие годы прогнозируется на уровне 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110,1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="004E1725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7,6</w:t>
      </w:r>
      <w:r w:rsidR="008066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A6584">
        <w:rPr>
          <w:rFonts w:ascii="Times New Roman" w:eastAsia="Times New Roman" w:hAnsi="Times New Roman"/>
          <w:sz w:val="28"/>
          <w:szCs w:val="28"/>
          <w:lang w:eastAsia="ar-SA"/>
        </w:rPr>
        <w:t>%</w:t>
      </w:r>
      <w:r w:rsidR="00E90ECD" w:rsidRPr="00E90E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E90ECD" w:rsidRPr="00254B51">
        <w:rPr>
          <w:rFonts w:ascii="Times New Roman" w:eastAsia="Times New Roman" w:hAnsi="Times New Roman"/>
          <w:sz w:val="28"/>
          <w:szCs w:val="28"/>
          <w:lang w:eastAsia="ar-SA"/>
        </w:rPr>
        <w:t>а счет индексации заработной платы работникам</w:t>
      </w:r>
      <w:r w:rsidR="00E90EC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53214076" w14:textId="04BC4FE0" w:rsidR="004A6584" w:rsidRDefault="004A6584" w:rsidP="00364567">
      <w:pPr>
        <w:tabs>
          <w:tab w:val="left" w:pos="0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369DA53" w14:textId="77777777" w:rsidR="00254B51" w:rsidRPr="00364567" w:rsidRDefault="00254B51" w:rsidP="00364567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254B51" w:rsidRPr="00364567" w:rsidSect="00364567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9"/>
    <w:rsid w:val="00023825"/>
    <w:rsid w:val="000249D0"/>
    <w:rsid w:val="00034A1F"/>
    <w:rsid w:val="0005628F"/>
    <w:rsid w:val="00060436"/>
    <w:rsid w:val="000607D8"/>
    <w:rsid w:val="0007371F"/>
    <w:rsid w:val="00076678"/>
    <w:rsid w:val="00090666"/>
    <w:rsid w:val="0009613E"/>
    <w:rsid w:val="000A134B"/>
    <w:rsid w:val="000A5522"/>
    <w:rsid w:val="000B1604"/>
    <w:rsid w:val="000B521A"/>
    <w:rsid w:val="000C2D59"/>
    <w:rsid w:val="000C3C47"/>
    <w:rsid w:val="000E0245"/>
    <w:rsid w:val="000E2B00"/>
    <w:rsid w:val="00115540"/>
    <w:rsid w:val="00117068"/>
    <w:rsid w:val="001248F9"/>
    <w:rsid w:val="00145B3A"/>
    <w:rsid w:val="00161AB1"/>
    <w:rsid w:val="001762BD"/>
    <w:rsid w:val="00182F08"/>
    <w:rsid w:val="00196ED7"/>
    <w:rsid w:val="001A1FFB"/>
    <w:rsid w:val="001C3DD7"/>
    <w:rsid w:val="001C53B7"/>
    <w:rsid w:val="001C66C5"/>
    <w:rsid w:val="001D3FEC"/>
    <w:rsid w:val="001D7275"/>
    <w:rsid w:val="001E1055"/>
    <w:rsid w:val="00224AA4"/>
    <w:rsid w:val="002261D0"/>
    <w:rsid w:val="00233DA3"/>
    <w:rsid w:val="00254B51"/>
    <w:rsid w:val="002579D4"/>
    <w:rsid w:val="00264A81"/>
    <w:rsid w:val="00267A6A"/>
    <w:rsid w:val="00270D10"/>
    <w:rsid w:val="00293033"/>
    <w:rsid w:val="002B600A"/>
    <w:rsid w:val="002D3DB4"/>
    <w:rsid w:val="002D651B"/>
    <w:rsid w:val="002E58C1"/>
    <w:rsid w:val="00301394"/>
    <w:rsid w:val="003239B5"/>
    <w:rsid w:val="003322CA"/>
    <w:rsid w:val="003323FE"/>
    <w:rsid w:val="00333A31"/>
    <w:rsid w:val="0033790A"/>
    <w:rsid w:val="00344C55"/>
    <w:rsid w:val="0036059D"/>
    <w:rsid w:val="00364567"/>
    <w:rsid w:val="003845A2"/>
    <w:rsid w:val="0039328F"/>
    <w:rsid w:val="0039539C"/>
    <w:rsid w:val="003A19F6"/>
    <w:rsid w:val="003A6516"/>
    <w:rsid w:val="003C027D"/>
    <w:rsid w:val="003D3F72"/>
    <w:rsid w:val="003D7B6C"/>
    <w:rsid w:val="00400907"/>
    <w:rsid w:val="00406546"/>
    <w:rsid w:val="004147DE"/>
    <w:rsid w:val="004347E0"/>
    <w:rsid w:val="00455BEC"/>
    <w:rsid w:val="00464A66"/>
    <w:rsid w:val="00476B0F"/>
    <w:rsid w:val="00484C50"/>
    <w:rsid w:val="00497DD3"/>
    <w:rsid w:val="004A6584"/>
    <w:rsid w:val="004B0978"/>
    <w:rsid w:val="004B238C"/>
    <w:rsid w:val="004B2BF9"/>
    <w:rsid w:val="004E1725"/>
    <w:rsid w:val="004F759A"/>
    <w:rsid w:val="00531638"/>
    <w:rsid w:val="00547EF7"/>
    <w:rsid w:val="00554C55"/>
    <w:rsid w:val="00566786"/>
    <w:rsid w:val="00566DAC"/>
    <w:rsid w:val="00570207"/>
    <w:rsid w:val="005743B3"/>
    <w:rsid w:val="005832EF"/>
    <w:rsid w:val="00594E49"/>
    <w:rsid w:val="005A13A2"/>
    <w:rsid w:val="005A4020"/>
    <w:rsid w:val="005B214F"/>
    <w:rsid w:val="005B761A"/>
    <w:rsid w:val="005C2D88"/>
    <w:rsid w:val="005C64B1"/>
    <w:rsid w:val="005D2E42"/>
    <w:rsid w:val="005E7862"/>
    <w:rsid w:val="005E7951"/>
    <w:rsid w:val="006033FE"/>
    <w:rsid w:val="00604BDA"/>
    <w:rsid w:val="006146AD"/>
    <w:rsid w:val="00614F2B"/>
    <w:rsid w:val="006410D2"/>
    <w:rsid w:val="00645A4A"/>
    <w:rsid w:val="00654AE9"/>
    <w:rsid w:val="00657549"/>
    <w:rsid w:val="00664568"/>
    <w:rsid w:val="00667724"/>
    <w:rsid w:val="00677E30"/>
    <w:rsid w:val="00695B7B"/>
    <w:rsid w:val="006B11BE"/>
    <w:rsid w:val="006B1E40"/>
    <w:rsid w:val="006C361C"/>
    <w:rsid w:val="006D27C1"/>
    <w:rsid w:val="006D5554"/>
    <w:rsid w:val="00731679"/>
    <w:rsid w:val="00740744"/>
    <w:rsid w:val="00762074"/>
    <w:rsid w:val="00762DA3"/>
    <w:rsid w:val="00770296"/>
    <w:rsid w:val="007744CC"/>
    <w:rsid w:val="00776728"/>
    <w:rsid w:val="00784CF8"/>
    <w:rsid w:val="007960CA"/>
    <w:rsid w:val="007B0D83"/>
    <w:rsid w:val="007B458A"/>
    <w:rsid w:val="007C11C9"/>
    <w:rsid w:val="007D43B2"/>
    <w:rsid w:val="008057EB"/>
    <w:rsid w:val="00805D01"/>
    <w:rsid w:val="008066F1"/>
    <w:rsid w:val="008128B4"/>
    <w:rsid w:val="00826EDF"/>
    <w:rsid w:val="0083570D"/>
    <w:rsid w:val="00855063"/>
    <w:rsid w:val="0086034A"/>
    <w:rsid w:val="00871DBE"/>
    <w:rsid w:val="00875DB0"/>
    <w:rsid w:val="0089566E"/>
    <w:rsid w:val="008A323C"/>
    <w:rsid w:val="008A5A65"/>
    <w:rsid w:val="008B0775"/>
    <w:rsid w:val="008B0818"/>
    <w:rsid w:val="008D25AC"/>
    <w:rsid w:val="009023FF"/>
    <w:rsid w:val="00907A20"/>
    <w:rsid w:val="009106F3"/>
    <w:rsid w:val="0097761C"/>
    <w:rsid w:val="009C2E6E"/>
    <w:rsid w:val="009E0935"/>
    <w:rsid w:val="009E1150"/>
    <w:rsid w:val="009E16EA"/>
    <w:rsid w:val="009F3D94"/>
    <w:rsid w:val="00A007C9"/>
    <w:rsid w:val="00A12B02"/>
    <w:rsid w:val="00A22FFF"/>
    <w:rsid w:val="00A25A57"/>
    <w:rsid w:val="00A566BF"/>
    <w:rsid w:val="00A56BF0"/>
    <w:rsid w:val="00A63F79"/>
    <w:rsid w:val="00A70C3B"/>
    <w:rsid w:val="00A804B8"/>
    <w:rsid w:val="00A91583"/>
    <w:rsid w:val="00A93AA3"/>
    <w:rsid w:val="00A96F3B"/>
    <w:rsid w:val="00AA6546"/>
    <w:rsid w:val="00AA6A47"/>
    <w:rsid w:val="00AB70A3"/>
    <w:rsid w:val="00AB7B35"/>
    <w:rsid w:val="00AC0484"/>
    <w:rsid w:val="00AE24DC"/>
    <w:rsid w:val="00AE7488"/>
    <w:rsid w:val="00B01794"/>
    <w:rsid w:val="00B01A20"/>
    <w:rsid w:val="00B12502"/>
    <w:rsid w:val="00B21F2A"/>
    <w:rsid w:val="00B47A5A"/>
    <w:rsid w:val="00B515AA"/>
    <w:rsid w:val="00B61A36"/>
    <w:rsid w:val="00B65BFE"/>
    <w:rsid w:val="00B82716"/>
    <w:rsid w:val="00B839BC"/>
    <w:rsid w:val="00B90100"/>
    <w:rsid w:val="00B93A8D"/>
    <w:rsid w:val="00BD0AA8"/>
    <w:rsid w:val="00BE002B"/>
    <w:rsid w:val="00BE75D5"/>
    <w:rsid w:val="00BF48CA"/>
    <w:rsid w:val="00C00703"/>
    <w:rsid w:val="00C013B2"/>
    <w:rsid w:val="00C07FEE"/>
    <w:rsid w:val="00C100EF"/>
    <w:rsid w:val="00C26336"/>
    <w:rsid w:val="00C301A1"/>
    <w:rsid w:val="00C36D0C"/>
    <w:rsid w:val="00C52528"/>
    <w:rsid w:val="00C827DF"/>
    <w:rsid w:val="00C973DF"/>
    <w:rsid w:val="00CA430C"/>
    <w:rsid w:val="00CA4FBF"/>
    <w:rsid w:val="00CB32D7"/>
    <w:rsid w:val="00CC4959"/>
    <w:rsid w:val="00CD0585"/>
    <w:rsid w:val="00CD4F78"/>
    <w:rsid w:val="00CE67DE"/>
    <w:rsid w:val="00CE69B5"/>
    <w:rsid w:val="00CF69CC"/>
    <w:rsid w:val="00D12238"/>
    <w:rsid w:val="00D24F58"/>
    <w:rsid w:val="00D34764"/>
    <w:rsid w:val="00D36F75"/>
    <w:rsid w:val="00D4412E"/>
    <w:rsid w:val="00D60379"/>
    <w:rsid w:val="00D7201A"/>
    <w:rsid w:val="00D90B55"/>
    <w:rsid w:val="00D96F7C"/>
    <w:rsid w:val="00DA2079"/>
    <w:rsid w:val="00DA3A2A"/>
    <w:rsid w:val="00DB2791"/>
    <w:rsid w:val="00DC2B4D"/>
    <w:rsid w:val="00DC553D"/>
    <w:rsid w:val="00DC6550"/>
    <w:rsid w:val="00DD2190"/>
    <w:rsid w:val="00DE3F0D"/>
    <w:rsid w:val="00DF00DB"/>
    <w:rsid w:val="00DF1D80"/>
    <w:rsid w:val="00DF5D3E"/>
    <w:rsid w:val="00E017B5"/>
    <w:rsid w:val="00E322D1"/>
    <w:rsid w:val="00E33018"/>
    <w:rsid w:val="00E3585B"/>
    <w:rsid w:val="00E55984"/>
    <w:rsid w:val="00E57D55"/>
    <w:rsid w:val="00E62C36"/>
    <w:rsid w:val="00E66995"/>
    <w:rsid w:val="00E813C6"/>
    <w:rsid w:val="00E85F49"/>
    <w:rsid w:val="00E90226"/>
    <w:rsid w:val="00E90ECD"/>
    <w:rsid w:val="00E93DE0"/>
    <w:rsid w:val="00E95155"/>
    <w:rsid w:val="00EB1ED4"/>
    <w:rsid w:val="00EB67DA"/>
    <w:rsid w:val="00EC3E2E"/>
    <w:rsid w:val="00EC4398"/>
    <w:rsid w:val="00ED6360"/>
    <w:rsid w:val="00EE36CA"/>
    <w:rsid w:val="00EE6EE8"/>
    <w:rsid w:val="00F06BF6"/>
    <w:rsid w:val="00F110F6"/>
    <w:rsid w:val="00F16CBC"/>
    <w:rsid w:val="00F32248"/>
    <w:rsid w:val="00F37ECA"/>
    <w:rsid w:val="00F424D5"/>
    <w:rsid w:val="00F44BE9"/>
    <w:rsid w:val="00F7010D"/>
    <w:rsid w:val="00F828B3"/>
    <w:rsid w:val="00F872C3"/>
    <w:rsid w:val="00F9468A"/>
    <w:rsid w:val="00FA285E"/>
    <w:rsid w:val="00FA3401"/>
    <w:rsid w:val="00FA3749"/>
    <w:rsid w:val="00FA5871"/>
    <w:rsid w:val="00FB18FE"/>
    <w:rsid w:val="00FC0B52"/>
    <w:rsid w:val="00FC2EE9"/>
    <w:rsid w:val="00FD650F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E82C"/>
  <w15:docId w15:val="{93E60CC2-339D-4813-80F8-DA470282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74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A3749"/>
    <w:rPr>
      <w:color w:val="800080"/>
      <w:u w:val="single"/>
    </w:rPr>
  </w:style>
  <w:style w:type="paragraph" w:customStyle="1" w:styleId="font5">
    <w:name w:val="font5"/>
    <w:basedOn w:val="a"/>
    <w:rsid w:val="00FA3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A37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FA374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FA374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FA374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FA374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A37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A3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A3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A37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A3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A37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A37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A37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A37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FA374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FA374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FA37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A37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Светлана</cp:lastModifiedBy>
  <cp:revision>6</cp:revision>
  <dcterms:created xsi:type="dcterms:W3CDTF">2024-10-28T11:34:00Z</dcterms:created>
  <dcterms:modified xsi:type="dcterms:W3CDTF">2024-10-28T12:34:00Z</dcterms:modified>
</cp:coreProperties>
</file>