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5B3D5F" w:rsidP="005B3D5F">
      <w:pPr>
        <w:pStyle w:val="2"/>
        <w:tabs>
          <w:tab w:val="center" w:pos="4677"/>
          <w:tab w:val="left" w:pos="8235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C8416A">
        <w:rPr>
          <w:noProof/>
        </w:rPr>
        <w:drawing>
          <wp:anchor distT="0" distB="0" distL="114300" distR="114300" simplePos="0" relativeHeight="251658240" behindDoc="0" locked="0" layoutInCell="0" allowOverlap="1" wp14:anchorId="4D362BB4" wp14:editId="32376737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  <w:t>Проект</w:t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01A7">
        <w:rPr>
          <w:sz w:val="28"/>
          <w:szCs w:val="28"/>
        </w:rPr>
        <w:t>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B601A7">
        <w:rPr>
          <w:sz w:val="28"/>
          <w:szCs w:val="28"/>
        </w:rPr>
        <w:t xml:space="preserve">     </w:t>
      </w:r>
      <w:r w:rsidR="00A90BFB">
        <w:rPr>
          <w:sz w:val="28"/>
          <w:szCs w:val="28"/>
        </w:rPr>
        <w:t xml:space="preserve">  </w:t>
      </w:r>
      <w:r w:rsidR="002B3898">
        <w:rPr>
          <w:sz w:val="28"/>
          <w:szCs w:val="28"/>
        </w:rPr>
        <w:t xml:space="preserve">№ </w:t>
      </w:r>
      <w:r w:rsidR="00B601A7">
        <w:rPr>
          <w:sz w:val="28"/>
          <w:szCs w:val="28"/>
        </w:rPr>
        <w:t>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B73BA7" w:rsidRDefault="00B73BA7" w:rsidP="00B73BA7"/>
    <w:p w:rsidR="00B73BA7" w:rsidRPr="00DF52F3" w:rsidRDefault="00B73BA7" w:rsidP="00B73BA7">
      <w:pPr>
        <w:suppressAutoHyphens/>
        <w:ind w:firstLine="10"/>
        <w:jc w:val="center"/>
        <w:rPr>
          <w:b/>
          <w:bCs/>
          <w:sz w:val="28"/>
          <w:szCs w:val="28"/>
        </w:rPr>
      </w:pPr>
      <w:r w:rsidRPr="00DF52F3">
        <w:rPr>
          <w:b/>
          <w:bCs/>
          <w:sz w:val="28"/>
          <w:szCs w:val="28"/>
        </w:rPr>
        <w:t xml:space="preserve">Об утверждении методики мониторинга коррупционных рисков </w:t>
      </w:r>
    </w:p>
    <w:p w:rsidR="00B73BA7" w:rsidRPr="00BE3C1F" w:rsidRDefault="00B73BA7" w:rsidP="00BE3C1F">
      <w:pPr>
        <w:suppressAutoHyphens/>
        <w:ind w:firstLine="10"/>
        <w:jc w:val="center"/>
        <w:rPr>
          <w:b/>
          <w:bCs/>
          <w:sz w:val="28"/>
          <w:szCs w:val="28"/>
        </w:rPr>
      </w:pPr>
      <w:r w:rsidRPr="00DF52F3">
        <w:rPr>
          <w:b/>
          <w:bCs/>
          <w:sz w:val="28"/>
          <w:szCs w:val="28"/>
        </w:rPr>
        <w:t xml:space="preserve">в </w:t>
      </w:r>
      <w:r w:rsidR="003567D2">
        <w:rPr>
          <w:b/>
          <w:bCs/>
          <w:sz w:val="28"/>
          <w:szCs w:val="28"/>
        </w:rPr>
        <w:t>администрации</w:t>
      </w:r>
      <w:r w:rsidRPr="00DF52F3">
        <w:rPr>
          <w:b/>
          <w:bCs/>
          <w:sz w:val="28"/>
          <w:szCs w:val="28"/>
        </w:rPr>
        <w:t xml:space="preserve"> </w:t>
      </w:r>
      <w:r w:rsidR="00931408">
        <w:rPr>
          <w:b/>
          <w:bCs/>
          <w:sz w:val="28"/>
          <w:szCs w:val="28"/>
        </w:rPr>
        <w:t>Пластуновского</w:t>
      </w:r>
      <w:r w:rsidRPr="00DF52F3">
        <w:rPr>
          <w:b/>
          <w:bCs/>
          <w:sz w:val="28"/>
          <w:szCs w:val="28"/>
        </w:rPr>
        <w:t xml:space="preserve"> сельского поселения</w:t>
      </w:r>
      <w:r w:rsidR="00BE3C1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 w:rsidR="00BE3C1F">
        <w:rPr>
          <w:b/>
          <w:bCs/>
          <w:sz w:val="28"/>
          <w:szCs w:val="28"/>
        </w:rPr>
        <w:t xml:space="preserve"> района </w:t>
      </w:r>
      <w:r w:rsidRPr="00DF52F3">
        <w:rPr>
          <w:b/>
          <w:bCs/>
          <w:sz w:val="28"/>
          <w:szCs w:val="28"/>
        </w:rPr>
        <w:t>для определения перечня должностей,</w:t>
      </w:r>
      <w:r w:rsidR="00BE3C1F">
        <w:rPr>
          <w:b/>
          <w:bCs/>
          <w:sz w:val="28"/>
          <w:szCs w:val="28"/>
        </w:rPr>
        <w:t xml:space="preserve"> </w:t>
      </w:r>
      <w:r w:rsidRPr="00DF52F3">
        <w:rPr>
          <w:b/>
          <w:bCs/>
          <w:sz w:val="28"/>
          <w:szCs w:val="28"/>
        </w:rPr>
        <w:t>в наибольшей степени подверженных риску коррупции</w:t>
      </w:r>
    </w:p>
    <w:p w:rsidR="00B73BA7" w:rsidRDefault="00B73BA7" w:rsidP="00B73BA7">
      <w:pPr>
        <w:suppressAutoHyphens/>
        <w:ind w:firstLine="832"/>
        <w:jc w:val="both"/>
        <w:rPr>
          <w:sz w:val="28"/>
          <w:szCs w:val="28"/>
        </w:rPr>
      </w:pP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</w:p>
    <w:p w:rsidR="00B73BA7" w:rsidRPr="00DF52F3" w:rsidRDefault="001B78A2" w:rsidP="001B78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                 № 656 «О мониторинге восприятия уровня коррупции в исполнительных органах государственной власти Краснодарского края»,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и в целях противодействия коррупции</w:t>
      </w:r>
      <w:proofErr w:type="gramEnd"/>
      <w:r>
        <w:rPr>
          <w:sz w:val="28"/>
          <w:szCs w:val="28"/>
        </w:rPr>
        <w:t xml:space="preserve"> лицами, замещающими муниципальные должности и должности муниципальной службы в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1. Утвердить Методику мониторинга коррупционных рисков в </w:t>
      </w:r>
      <w:r w:rsidR="003567D2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1B78A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1B78A2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 (прилагается).</w:t>
      </w: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2. Возложить на общий отдел администрации </w:t>
      </w:r>
      <w:r w:rsidR="001B78A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1B78A2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(</w:t>
      </w:r>
      <w:r w:rsidR="001B78A2">
        <w:rPr>
          <w:sz w:val="28"/>
          <w:szCs w:val="28"/>
        </w:rPr>
        <w:t>Лавриненко</w:t>
      </w:r>
      <w:r w:rsidRPr="00DF52F3">
        <w:rPr>
          <w:sz w:val="28"/>
          <w:szCs w:val="28"/>
        </w:rPr>
        <w:t xml:space="preserve">) обязанности по исполнению настоящего постановления и подготовке заключений по результатам проведения мониторинга коррупционных рисков в </w:t>
      </w:r>
      <w:r w:rsidR="005B3D5F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3567D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3567D2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района.</w:t>
      </w:r>
    </w:p>
    <w:p w:rsidR="00B73BA7" w:rsidRPr="00DF52F3" w:rsidRDefault="00B73BA7" w:rsidP="00B73BA7">
      <w:pPr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3. </w:t>
      </w:r>
      <w:r w:rsidRPr="006C3CBA">
        <w:rPr>
          <w:sz w:val="28"/>
          <w:szCs w:val="28"/>
        </w:rPr>
        <w:t xml:space="preserve">Общему отделу администрации </w:t>
      </w:r>
      <w:r w:rsidR="003567D2">
        <w:rPr>
          <w:sz w:val="28"/>
          <w:szCs w:val="28"/>
        </w:rPr>
        <w:t>Пластуновского</w:t>
      </w:r>
      <w:r w:rsidRPr="006C3CBA">
        <w:rPr>
          <w:sz w:val="28"/>
          <w:szCs w:val="28"/>
        </w:rPr>
        <w:t xml:space="preserve"> сельского поселения </w:t>
      </w:r>
      <w:proofErr w:type="spellStart"/>
      <w:r w:rsidR="003567D2">
        <w:rPr>
          <w:sz w:val="28"/>
          <w:szCs w:val="28"/>
        </w:rPr>
        <w:t>Динского</w:t>
      </w:r>
      <w:proofErr w:type="spellEnd"/>
      <w:r w:rsidRPr="006C3CBA">
        <w:rPr>
          <w:sz w:val="28"/>
          <w:szCs w:val="28"/>
        </w:rPr>
        <w:t xml:space="preserve"> района (</w:t>
      </w:r>
      <w:r w:rsidR="003567D2">
        <w:rPr>
          <w:sz w:val="28"/>
          <w:szCs w:val="28"/>
        </w:rPr>
        <w:t>Маликов</w:t>
      </w:r>
      <w:r w:rsidRPr="006C3CBA">
        <w:rPr>
          <w:sz w:val="28"/>
          <w:szCs w:val="28"/>
        </w:rPr>
        <w:t>) обнародовать настояще</w:t>
      </w:r>
      <w:r w:rsidR="003567D2">
        <w:rPr>
          <w:sz w:val="28"/>
          <w:szCs w:val="28"/>
        </w:rPr>
        <w:t xml:space="preserve">е постановление в установленном порядке </w:t>
      </w:r>
      <w:r w:rsidRPr="006C3CBA">
        <w:rPr>
          <w:sz w:val="28"/>
          <w:szCs w:val="28"/>
        </w:rPr>
        <w:t xml:space="preserve">и </w:t>
      </w:r>
      <w:proofErr w:type="gramStart"/>
      <w:r w:rsidRPr="006C3CBA">
        <w:rPr>
          <w:sz w:val="28"/>
          <w:szCs w:val="28"/>
        </w:rPr>
        <w:t>разместить его</w:t>
      </w:r>
      <w:proofErr w:type="gramEnd"/>
      <w:r w:rsidRPr="006C3CBA">
        <w:rPr>
          <w:sz w:val="28"/>
          <w:szCs w:val="28"/>
        </w:rPr>
        <w:t xml:space="preserve"> на официальном сайте </w:t>
      </w:r>
      <w:r w:rsidR="003567D2">
        <w:rPr>
          <w:sz w:val="28"/>
          <w:szCs w:val="28"/>
        </w:rPr>
        <w:t>администрации Пластуновского</w:t>
      </w:r>
      <w:r w:rsidRPr="006C3CBA">
        <w:rPr>
          <w:sz w:val="28"/>
          <w:szCs w:val="28"/>
        </w:rPr>
        <w:t xml:space="preserve"> сельского поселения </w:t>
      </w:r>
      <w:proofErr w:type="spellStart"/>
      <w:r w:rsidR="003567D2">
        <w:rPr>
          <w:sz w:val="28"/>
          <w:szCs w:val="28"/>
        </w:rPr>
        <w:t>Динского</w:t>
      </w:r>
      <w:proofErr w:type="spellEnd"/>
      <w:r w:rsidRPr="006C3CBA">
        <w:rPr>
          <w:sz w:val="28"/>
          <w:szCs w:val="28"/>
        </w:rPr>
        <w:t xml:space="preserve"> района в сети Интернет.</w:t>
      </w:r>
      <w:r w:rsidRPr="00DF52F3">
        <w:rPr>
          <w:sz w:val="28"/>
          <w:szCs w:val="28"/>
        </w:rPr>
        <w:t xml:space="preserve"> </w:t>
      </w:r>
    </w:p>
    <w:p w:rsidR="00B73BA7" w:rsidRPr="00DF52F3" w:rsidRDefault="00B73BA7" w:rsidP="00B73BA7">
      <w:pPr>
        <w:suppressAutoHyphens/>
        <w:ind w:firstLine="832"/>
        <w:jc w:val="both"/>
        <w:rPr>
          <w:sz w:val="28"/>
          <w:szCs w:val="28"/>
        </w:rPr>
      </w:pPr>
      <w:r w:rsidRPr="00DF52F3">
        <w:rPr>
          <w:sz w:val="28"/>
          <w:szCs w:val="28"/>
        </w:rPr>
        <w:lastRenderedPageBreak/>
        <w:t xml:space="preserve">4. Постановление вступает в силу после </w:t>
      </w:r>
      <w:r>
        <w:rPr>
          <w:sz w:val="28"/>
          <w:szCs w:val="28"/>
        </w:rPr>
        <w:t>его официального обнародования.</w:t>
      </w:r>
    </w:p>
    <w:p w:rsidR="00B73BA7" w:rsidRPr="006C33C7" w:rsidRDefault="00B73BA7" w:rsidP="00B73BA7">
      <w:pPr>
        <w:pStyle w:val="3"/>
        <w:ind w:firstLine="851"/>
        <w:jc w:val="both"/>
        <w:rPr>
          <w:b w:val="0"/>
        </w:rPr>
      </w:pPr>
    </w:p>
    <w:p w:rsidR="00B73BA7" w:rsidRPr="00B73BA7" w:rsidRDefault="00B73BA7" w:rsidP="00B73BA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3567D2">
        <w:rPr>
          <w:rFonts w:ascii="Times New Roman" w:hAnsi="Times New Roman" w:cs="Times New Roman"/>
          <w:b w:val="0"/>
          <w:color w:val="auto"/>
          <w:sz w:val="28"/>
          <w:szCs w:val="28"/>
        </w:rPr>
        <w:t>Пластуновского</w:t>
      </w:r>
      <w:r w:rsidRPr="00B73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3BA7" w:rsidRPr="005B3D5F" w:rsidRDefault="00B73BA7" w:rsidP="005B3D5F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</w:t>
      </w:r>
      <w:r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                                      </w:t>
      </w:r>
      <w:r w:rsid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</w:t>
      </w:r>
      <w:r w:rsidR="003567D2"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567D2" w:rsidRPr="005B3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С.К. Олейник</w:t>
      </w:r>
      <w:r w:rsidR="003567D2" w:rsidRPr="005B3D5F">
        <w:rPr>
          <w:color w:val="000000" w:themeColor="text1"/>
          <w:sz w:val="28"/>
          <w:szCs w:val="28"/>
        </w:rPr>
        <w:t xml:space="preserve"> </w:t>
      </w:r>
    </w:p>
    <w:p w:rsidR="00B73BA7" w:rsidRDefault="00B73BA7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Default="003567D2" w:rsidP="00B73BA7">
      <w:pPr>
        <w:jc w:val="both"/>
        <w:rPr>
          <w:sz w:val="28"/>
          <w:szCs w:val="28"/>
        </w:rPr>
      </w:pPr>
    </w:p>
    <w:p w:rsidR="003567D2" w:rsidRPr="00EF6D71" w:rsidRDefault="003567D2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jc w:val="both"/>
        <w:rPr>
          <w:sz w:val="28"/>
          <w:szCs w:val="28"/>
        </w:rPr>
      </w:pPr>
    </w:p>
    <w:p w:rsidR="005B3D5F" w:rsidRPr="00EF6D71" w:rsidRDefault="005B3D5F" w:rsidP="00B73BA7">
      <w:pPr>
        <w:jc w:val="both"/>
        <w:rPr>
          <w:sz w:val="28"/>
          <w:szCs w:val="28"/>
        </w:rPr>
      </w:pPr>
    </w:p>
    <w:p w:rsidR="00B73BA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 w:rsidRPr="006C33C7">
        <w:rPr>
          <w:sz w:val="28"/>
          <w:szCs w:val="28"/>
        </w:rPr>
        <w:t>ПРИЛОЖЕНИЕ № 1</w:t>
      </w:r>
    </w:p>
    <w:p w:rsidR="00B73BA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B73BA7" w:rsidRPr="006C33C7" w:rsidRDefault="00B73BA7" w:rsidP="00B73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УТВЕРЖДЕН</w:t>
      </w:r>
      <w:r>
        <w:rPr>
          <w:sz w:val="28"/>
          <w:szCs w:val="28"/>
        </w:rPr>
        <w:t>А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постановлением администрации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3567D2">
        <w:rPr>
          <w:sz w:val="28"/>
          <w:szCs w:val="28"/>
        </w:rPr>
        <w:t>Пластуновского</w:t>
      </w:r>
      <w:r w:rsidRPr="006C33C7">
        <w:rPr>
          <w:sz w:val="28"/>
          <w:szCs w:val="28"/>
        </w:rPr>
        <w:t xml:space="preserve"> сельского поселения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3567D2">
        <w:rPr>
          <w:sz w:val="28"/>
          <w:szCs w:val="28"/>
        </w:rPr>
        <w:t>Динского</w:t>
      </w:r>
      <w:proofErr w:type="spellEnd"/>
      <w:r w:rsidRPr="006C33C7">
        <w:rPr>
          <w:sz w:val="28"/>
          <w:szCs w:val="28"/>
        </w:rPr>
        <w:t xml:space="preserve"> района</w:t>
      </w:r>
    </w:p>
    <w:p w:rsidR="00B73BA7" w:rsidRPr="006C33C7" w:rsidRDefault="00B73BA7" w:rsidP="00B73BA7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 xml:space="preserve">от </w:t>
      </w:r>
      <w:r w:rsidR="003567D2">
        <w:rPr>
          <w:sz w:val="28"/>
          <w:szCs w:val="28"/>
        </w:rPr>
        <w:t>_____________</w:t>
      </w:r>
      <w:r w:rsidRPr="006C33C7">
        <w:rPr>
          <w:sz w:val="28"/>
          <w:szCs w:val="28"/>
        </w:rPr>
        <w:t xml:space="preserve">  №</w:t>
      </w:r>
      <w:r w:rsidRPr="006C33C7">
        <w:rPr>
          <w:sz w:val="28"/>
          <w:szCs w:val="28"/>
        </w:rPr>
        <w:tab/>
      </w:r>
      <w:r w:rsidR="003567D2">
        <w:rPr>
          <w:sz w:val="28"/>
          <w:szCs w:val="28"/>
        </w:rPr>
        <w:t>_______</w:t>
      </w:r>
      <w:r w:rsidR="003567D2">
        <w:rPr>
          <w:sz w:val="28"/>
          <w:szCs w:val="28"/>
        </w:rPr>
        <w:tab/>
      </w:r>
      <w:r w:rsidRPr="006C33C7">
        <w:rPr>
          <w:sz w:val="28"/>
          <w:szCs w:val="28"/>
        </w:rPr>
        <w:t xml:space="preserve"> </w:t>
      </w: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pStyle w:val="3"/>
        <w:rPr>
          <w:b w:val="0"/>
        </w:rPr>
      </w:pPr>
    </w:p>
    <w:p w:rsidR="00B73BA7" w:rsidRPr="003567D2" w:rsidRDefault="00B73BA7" w:rsidP="00B73BA7">
      <w:pPr>
        <w:suppressAutoHyphens/>
        <w:jc w:val="center"/>
        <w:rPr>
          <w:b/>
          <w:sz w:val="28"/>
          <w:szCs w:val="28"/>
        </w:rPr>
      </w:pPr>
      <w:r w:rsidRPr="003567D2">
        <w:rPr>
          <w:b/>
          <w:sz w:val="28"/>
          <w:szCs w:val="28"/>
        </w:rPr>
        <w:t>МЕТОДИКА</w:t>
      </w:r>
    </w:p>
    <w:p w:rsidR="00B73BA7" w:rsidRPr="00DF52F3" w:rsidRDefault="00B73BA7" w:rsidP="00B73BA7">
      <w:pPr>
        <w:suppressAutoHyphens/>
        <w:jc w:val="center"/>
        <w:rPr>
          <w:sz w:val="28"/>
          <w:szCs w:val="28"/>
        </w:rPr>
      </w:pPr>
      <w:r w:rsidRPr="003567D2">
        <w:rPr>
          <w:b/>
          <w:sz w:val="28"/>
          <w:szCs w:val="28"/>
        </w:rPr>
        <w:t xml:space="preserve">мониторинга коррупционных рисков в </w:t>
      </w:r>
      <w:r w:rsidR="003567D2">
        <w:rPr>
          <w:b/>
          <w:sz w:val="28"/>
          <w:szCs w:val="28"/>
        </w:rPr>
        <w:t>администрации</w:t>
      </w:r>
      <w:r w:rsidRPr="003567D2">
        <w:rPr>
          <w:b/>
          <w:sz w:val="28"/>
          <w:szCs w:val="28"/>
        </w:rPr>
        <w:t xml:space="preserve"> </w:t>
      </w:r>
      <w:r w:rsidR="003567D2">
        <w:rPr>
          <w:b/>
          <w:sz w:val="28"/>
          <w:szCs w:val="28"/>
        </w:rPr>
        <w:t>Пластуновского</w:t>
      </w:r>
      <w:r w:rsidRPr="003567D2">
        <w:rPr>
          <w:b/>
          <w:sz w:val="28"/>
          <w:szCs w:val="28"/>
        </w:rPr>
        <w:t xml:space="preserve"> сельского поселения </w:t>
      </w:r>
      <w:proofErr w:type="spellStart"/>
      <w:r w:rsidR="003567D2">
        <w:rPr>
          <w:b/>
          <w:sz w:val="28"/>
          <w:szCs w:val="28"/>
        </w:rPr>
        <w:t>Динского</w:t>
      </w:r>
      <w:proofErr w:type="spellEnd"/>
      <w:r w:rsidRPr="003567D2">
        <w:rPr>
          <w:b/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</w:t>
      </w:r>
    </w:p>
    <w:p w:rsidR="00B73BA7" w:rsidRPr="00DF52F3" w:rsidRDefault="00B73BA7" w:rsidP="00B73BA7">
      <w:pPr>
        <w:suppressAutoHyphens/>
        <w:ind w:firstLine="900"/>
        <w:jc w:val="center"/>
        <w:rPr>
          <w:sz w:val="28"/>
          <w:szCs w:val="28"/>
        </w:rPr>
      </w:pPr>
    </w:p>
    <w:p w:rsidR="00B73BA7" w:rsidRPr="00DF52F3" w:rsidRDefault="00B73BA7" w:rsidP="00B73BA7">
      <w:pPr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1. </w:t>
      </w:r>
      <w:proofErr w:type="gramStart"/>
      <w:r w:rsidRPr="00DF52F3">
        <w:rPr>
          <w:sz w:val="28"/>
          <w:szCs w:val="28"/>
        </w:rPr>
        <w:t xml:space="preserve">Настоящая Методика мониторинга коррупционных рисков в </w:t>
      </w:r>
      <w:r w:rsidR="003567D2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3567D2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3567D2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 (далее – мониторинг коррупционных рисков) определяет систему непрерывного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 (далее – </w:t>
      </w:r>
      <w:proofErr w:type="spellStart"/>
      <w:r w:rsidRPr="00DF52F3">
        <w:rPr>
          <w:sz w:val="28"/>
          <w:szCs w:val="28"/>
        </w:rPr>
        <w:t>коррупциогенные</w:t>
      </w:r>
      <w:proofErr w:type="spellEnd"/>
      <w:r w:rsidRPr="00DF52F3">
        <w:rPr>
          <w:sz w:val="28"/>
          <w:szCs w:val="28"/>
        </w:rPr>
        <w:t xml:space="preserve"> должности).</w:t>
      </w:r>
      <w:proofErr w:type="gramEnd"/>
    </w:p>
    <w:p w:rsidR="00B73BA7" w:rsidRPr="00DF52F3" w:rsidRDefault="00B73BA7" w:rsidP="00B73BA7">
      <w:pPr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2. Мониторинг коррупционных рисков проводится на основании данных, полученных в результате: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 xml:space="preserve">1) экспертных заключений, полученных при экспертизе проектов нормативных правовых актов и нормативных правовых актов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C445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4537">
        <w:rPr>
          <w:sz w:val="28"/>
          <w:szCs w:val="28"/>
        </w:rPr>
        <w:t xml:space="preserve"> на </w:t>
      </w:r>
      <w:proofErr w:type="spellStart"/>
      <w:r w:rsidRPr="00C44537">
        <w:rPr>
          <w:sz w:val="28"/>
          <w:szCs w:val="28"/>
        </w:rPr>
        <w:t>коррупциогенность</w:t>
      </w:r>
      <w:proofErr w:type="spellEnd"/>
      <w:r w:rsidRPr="00C44537">
        <w:rPr>
          <w:sz w:val="28"/>
          <w:szCs w:val="28"/>
        </w:rPr>
        <w:t>.;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 xml:space="preserve">2) независимой экспертизы нормативных правовых актов администрации </w:t>
      </w:r>
      <w:r>
        <w:rPr>
          <w:sz w:val="28"/>
          <w:szCs w:val="28"/>
        </w:rPr>
        <w:t>Пластуновского сельского поселения</w:t>
      </w:r>
      <w:r w:rsidRPr="00C44537">
        <w:rPr>
          <w:sz w:val="28"/>
          <w:szCs w:val="28"/>
        </w:rPr>
        <w:t xml:space="preserve">, за исключением содержащих сведения, составляющие государственную тайну, или сведения конфиденциального характера, размещенных на официальном сайте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C44537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C44537">
        <w:rPr>
          <w:sz w:val="28"/>
          <w:szCs w:val="28"/>
        </w:rPr>
        <w:t xml:space="preserve">нформацию предоставляет </w:t>
      </w:r>
      <w:r>
        <w:rPr>
          <w:sz w:val="28"/>
          <w:szCs w:val="28"/>
        </w:rPr>
        <w:t>специалист, ответственный за размещение информации на официальном сайте Пластуновского сельского поселения</w:t>
      </w:r>
      <w:r w:rsidR="008D0952">
        <w:rPr>
          <w:sz w:val="28"/>
          <w:szCs w:val="28"/>
        </w:rPr>
        <w:t xml:space="preserve"> </w:t>
      </w:r>
      <w:proofErr w:type="spellStart"/>
      <w:r w:rsidR="008D0952">
        <w:rPr>
          <w:sz w:val="28"/>
          <w:szCs w:val="28"/>
        </w:rPr>
        <w:t>Динского</w:t>
      </w:r>
      <w:proofErr w:type="spellEnd"/>
      <w:r w:rsidR="008D09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 xml:space="preserve">3) мониторинга восприятия уровня коррупции в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>4) общественной экспертизы социально - значимых решений админист</w:t>
      </w:r>
      <w:r>
        <w:rPr>
          <w:sz w:val="28"/>
          <w:szCs w:val="28"/>
        </w:rPr>
        <w:t xml:space="preserve">рации </w:t>
      </w:r>
      <w:r w:rsidR="008D0952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C4453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44537">
        <w:rPr>
          <w:sz w:val="28"/>
          <w:szCs w:val="28"/>
        </w:rPr>
        <w:t>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>5) экспертизы обращений граждан на наличие сведений о фактах корруп</w:t>
      </w:r>
      <w:r>
        <w:rPr>
          <w:sz w:val="28"/>
          <w:szCs w:val="28"/>
        </w:rPr>
        <w:t>ции</w:t>
      </w:r>
      <w:r w:rsidRPr="00C44537">
        <w:rPr>
          <w:sz w:val="28"/>
          <w:szCs w:val="28"/>
        </w:rPr>
        <w:t xml:space="preserve">; 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t>6) статистического наблюдения за уровнем регистрируемых коррупцион</w:t>
      </w:r>
      <w:r>
        <w:rPr>
          <w:sz w:val="28"/>
          <w:szCs w:val="28"/>
        </w:rPr>
        <w:t>ных правонарушений;</w:t>
      </w:r>
    </w:p>
    <w:p w:rsidR="006F5193" w:rsidRDefault="006F5193" w:rsidP="006F51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44537">
        <w:rPr>
          <w:sz w:val="28"/>
          <w:szCs w:val="28"/>
        </w:rPr>
        <w:lastRenderedPageBreak/>
        <w:t>7) мониторинга уведомлений о фактах обращения в целях склонения муниципального служащего к совершени</w:t>
      </w:r>
      <w:r>
        <w:rPr>
          <w:sz w:val="28"/>
          <w:szCs w:val="28"/>
        </w:rPr>
        <w:t>ю коррупционных правонарушений;</w:t>
      </w:r>
    </w:p>
    <w:p w:rsidR="00B73BA7" w:rsidRPr="008E72A4" w:rsidRDefault="006F5193" w:rsidP="006F519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44537">
        <w:rPr>
          <w:sz w:val="28"/>
          <w:szCs w:val="28"/>
        </w:rPr>
        <w:t>) мониторинга достоверности и полноты предоставленных сведений о доходах, имуществе и обязательствах имущественного характера муниципальных служащих и граждан, претендующих на замещение до</w:t>
      </w:r>
      <w:r>
        <w:rPr>
          <w:sz w:val="28"/>
          <w:szCs w:val="28"/>
        </w:rPr>
        <w:t>лжностей муниципальной службы.</w:t>
      </w:r>
    </w:p>
    <w:p w:rsidR="00B73BA7" w:rsidRPr="00DF52F3" w:rsidRDefault="00B73BA7" w:rsidP="008D0952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3. В результате анализа данных, указанных в пункте 2 настоящей Методики, общий отдел администрации </w:t>
      </w:r>
      <w:r w:rsidR="003D559E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</w:t>
      </w:r>
      <w:r w:rsidR="008D0952">
        <w:rPr>
          <w:sz w:val="28"/>
          <w:szCs w:val="28"/>
        </w:rPr>
        <w:t xml:space="preserve"> </w:t>
      </w:r>
      <w:proofErr w:type="spellStart"/>
      <w:r w:rsidR="003D559E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ежегодно, не позднее 1 апреля года, следующего за </w:t>
      </w:r>
      <w:proofErr w:type="gramStart"/>
      <w:r w:rsidRPr="00DF52F3">
        <w:rPr>
          <w:sz w:val="28"/>
          <w:szCs w:val="28"/>
        </w:rPr>
        <w:t>отчетным</w:t>
      </w:r>
      <w:proofErr w:type="gramEnd"/>
      <w:r w:rsidRPr="00DF52F3">
        <w:rPr>
          <w:sz w:val="28"/>
          <w:szCs w:val="28"/>
        </w:rPr>
        <w:t>, составляет отчет о проведении мониторинга коррупционных рисков</w:t>
      </w:r>
      <w:r>
        <w:rPr>
          <w:sz w:val="28"/>
          <w:szCs w:val="28"/>
        </w:rPr>
        <w:t xml:space="preserve"> </w:t>
      </w:r>
      <w:r w:rsidRPr="00DF52F3">
        <w:rPr>
          <w:sz w:val="28"/>
          <w:szCs w:val="28"/>
        </w:rPr>
        <w:t xml:space="preserve">в </w:t>
      </w:r>
      <w:r w:rsidR="0049647F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49647F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8D0952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(далее – отчет).</w:t>
      </w:r>
    </w:p>
    <w:p w:rsidR="00B73BA7" w:rsidRPr="00DF52F3" w:rsidRDefault="00B73BA7" w:rsidP="00B73BA7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4. Отчет должен содержать:</w:t>
      </w:r>
    </w:p>
    <w:p w:rsidR="00B73BA7" w:rsidRPr="00DF52F3" w:rsidRDefault="00B73BA7" w:rsidP="00B73BA7">
      <w:pPr>
        <w:numPr>
          <w:ilvl w:val="0"/>
          <w:numId w:val="3"/>
        </w:numPr>
        <w:tabs>
          <w:tab w:val="left" w:pos="900"/>
        </w:tabs>
        <w:suppressAutoHyphens/>
        <w:ind w:left="0"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информацию о сферах муниципального управления, в наибольшей степени подверженных риску коррупции;</w:t>
      </w:r>
    </w:p>
    <w:p w:rsidR="00B73BA7" w:rsidRPr="00DF52F3" w:rsidRDefault="00B73BA7" w:rsidP="00B73BA7">
      <w:pPr>
        <w:numPr>
          <w:ilvl w:val="0"/>
          <w:numId w:val="3"/>
        </w:numPr>
        <w:tabs>
          <w:tab w:val="left" w:pos="900"/>
        </w:tabs>
        <w:suppressAutoHyphens/>
        <w:ind w:left="0"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информацию о перечне должностей, в наибольшей степени подверженных риску коррупции:</w:t>
      </w:r>
    </w:p>
    <w:p w:rsidR="00B73BA7" w:rsidRPr="00DF52F3" w:rsidRDefault="00B73BA7" w:rsidP="00B73BA7">
      <w:pPr>
        <w:numPr>
          <w:ilvl w:val="0"/>
          <w:numId w:val="3"/>
        </w:numPr>
        <w:tabs>
          <w:tab w:val="left" w:pos="900"/>
        </w:tabs>
        <w:suppressAutoHyphens/>
        <w:ind w:left="0"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>предложения о ликвидации (нейтрализации) коррупционных рисков.</w:t>
      </w:r>
    </w:p>
    <w:p w:rsidR="00B73BA7" w:rsidRDefault="00B73BA7" w:rsidP="00B73BA7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DF52F3">
        <w:rPr>
          <w:sz w:val="28"/>
          <w:szCs w:val="28"/>
        </w:rPr>
        <w:t xml:space="preserve">5. Отчет подлежит направлению в Совет по противодействию коррупции в сферах деятельности </w:t>
      </w:r>
      <w:r w:rsidR="00F904B1">
        <w:rPr>
          <w:sz w:val="28"/>
          <w:szCs w:val="28"/>
        </w:rPr>
        <w:t>администрации</w:t>
      </w:r>
      <w:r w:rsidRPr="00DF52F3">
        <w:rPr>
          <w:sz w:val="28"/>
          <w:szCs w:val="28"/>
        </w:rPr>
        <w:t xml:space="preserve"> </w:t>
      </w:r>
      <w:r w:rsidR="00F904B1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F904B1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района, в общий отдел администрации </w:t>
      </w:r>
      <w:r w:rsidR="00F904B1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F904B1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для обнародования на информационных стендах и размещения на официальном сайте администрации </w:t>
      </w:r>
      <w:r w:rsidR="00F904B1">
        <w:rPr>
          <w:sz w:val="28"/>
          <w:szCs w:val="28"/>
        </w:rPr>
        <w:t>Пластуновского</w:t>
      </w:r>
      <w:r w:rsidRPr="00DF52F3">
        <w:rPr>
          <w:sz w:val="28"/>
          <w:szCs w:val="28"/>
        </w:rPr>
        <w:t xml:space="preserve"> сельского поселения </w:t>
      </w:r>
      <w:proofErr w:type="spellStart"/>
      <w:r w:rsidR="00F904B1">
        <w:rPr>
          <w:sz w:val="28"/>
          <w:szCs w:val="28"/>
        </w:rPr>
        <w:t>Динского</w:t>
      </w:r>
      <w:proofErr w:type="spellEnd"/>
      <w:r w:rsidRPr="00DF52F3">
        <w:rPr>
          <w:sz w:val="28"/>
          <w:szCs w:val="28"/>
        </w:rPr>
        <w:t xml:space="preserve"> района в сети Интернет. </w:t>
      </w:r>
    </w:p>
    <w:p w:rsidR="008D0952" w:rsidRPr="00DF52F3" w:rsidRDefault="008D0952" w:rsidP="00B73BA7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4537">
        <w:rPr>
          <w:sz w:val="28"/>
          <w:szCs w:val="28"/>
        </w:rPr>
        <w:t>. Действия должностных лиц, органа, осуществляющего мониторинг, могут быть обжалованы в судебном порядке в соответствии с действующим законодательством Российской Федерации.</w:t>
      </w:r>
    </w:p>
    <w:p w:rsidR="00B73BA7" w:rsidRPr="006C33C7" w:rsidRDefault="00B73BA7" w:rsidP="00B73BA7">
      <w:pPr>
        <w:pStyle w:val="3"/>
        <w:rPr>
          <w:b w:val="0"/>
        </w:rPr>
      </w:pPr>
    </w:p>
    <w:p w:rsidR="00B73BA7" w:rsidRPr="006C33C7" w:rsidRDefault="00B73BA7" w:rsidP="00B73BA7">
      <w:pPr>
        <w:pStyle w:val="3"/>
        <w:rPr>
          <w:b w:val="0"/>
        </w:rPr>
      </w:pPr>
    </w:p>
    <w:p w:rsidR="00B73BA7" w:rsidRPr="00F904B1" w:rsidRDefault="00B73BA7" w:rsidP="00F904B1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</w:t>
      </w:r>
      <w:r w:rsid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Пластуновского</w:t>
      </w:r>
      <w:r w:rsidRP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3BA7" w:rsidRPr="007B5963" w:rsidRDefault="00B73BA7" w:rsidP="007B5963">
      <w:pPr>
        <w:pStyle w:val="3"/>
        <w:spacing w:before="0"/>
      </w:pPr>
      <w:r w:rsidRPr="00F90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</w:t>
      </w:r>
      <w:r w:rsidRPr="007B59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</w:t>
      </w:r>
      <w:r w:rsidRPr="007B5963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="007B5963" w:rsidRPr="007B596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</w:t>
      </w:r>
      <w:r w:rsidR="007B5963">
        <w:rPr>
          <w:rFonts w:ascii="Times New Roman" w:hAnsi="Times New Roman" w:cs="Times New Roman"/>
          <w:b w:val="0"/>
          <w:color w:val="000000" w:themeColor="text1"/>
        </w:rPr>
        <w:t xml:space="preserve">                     </w:t>
      </w:r>
      <w:r w:rsidR="007B5963" w:rsidRPr="007B5963">
        <w:rPr>
          <w:rFonts w:ascii="Times New Roman" w:hAnsi="Times New Roman" w:cs="Times New Roman"/>
          <w:b w:val="0"/>
          <w:color w:val="000000" w:themeColor="text1"/>
        </w:rPr>
        <w:t xml:space="preserve">    </w:t>
      </w:r>
      <w:r w:rsidR="00F904B1" w:rsidRPr="007B59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С.К. Олейник</w:t>
      </w: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</w:p>
    <w:p w:rsidR="00B73BA7" w:rsidRPr="006C33C7" w:rsidRDefault="00B73BA7" w:rsidP="00B73BA7">
      <w:pPr>
        <w:rPr>
          <w:sz w:val="28"/>
          <w:szCs w:val="28"/>
        </w:rPr>
      </w:pPr>
      <w:bookmarkStart w:id="0" w:name="_GoBack"/>
      <w:bookmarkEnd w:id="0"/>
    </w:p>
    <w:p w:rsidR="008165D7" w:rsidRPr="00C8416A" w:rsidRDefault="008165D7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78A2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567D2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559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942CC"/>
    <w:rsid w:val="0049647F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3D5F"/>
    <w:rsid w:val="005B499C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5193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B5963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952"/>
    <w:rsid w:val="008D3836"/>
    <w:rsid w:val="008D4A90"/>
    <w:rsid w:val="008E0AB1"/>
    <w:rsid w:val="008E453E"/>
    <w:rsid w:val="008F58E2"/>
    <w:rsid w:val="0090010D"/>
    <w:rsid w:val="00905034"/>
    <w:rsid w:val="009135FA"/>
    <w:rsid w:val="00931408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D21E9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4E4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1A7"/>
    <w:rsid w:val="00B62FF3"/>
    <w:rsid w:val="00B65860"/>
    <w:rsid w:val="00B708AA"/>
    <w:rsid w:val="00B73BA7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2DE"/>
    <w:rsid w:val="00BE3C1F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904B1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601A7"/>
    <w:rPr>
      <w:color w:val="0000FF" w:themeColor="hyperlink"/>
      <w:u w:val="single"/>
    </w:rPr>
  </w:style>
  <w:style w:type="character" w:customStyle="1" w:styleId="a7">
    <w:name w:val="Цветовое выделение"/>
    <w:rsid w:val="00B601A7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601A7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B73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601A7"/>
    <w:rPr>
      <w:color w:val="0000FF" w:themeColor="hyperlink"/>
      <w:u w:val="single"/>
    </w:rPr>
  </w:style>
  <w:style w:type="character" w:customStyle="1" w:styleId="a7">
    <w:name w:val="Цветовое выделение"/>
    <w:rsid w:val="00B601A7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601A7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B73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1D4D-C29E-4E39-A984-4CDB79A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6</cp:revision>
  <cp:lastPrinted>2019-02-11T13:05:00Z</cp:lastPrinted>
  <dcterms:created xsi:type="dcterms:W3CDTF">2019-02-11T12:42:00Z</dcterms:created>
  <dcterms:modified xsi:type="dcterms:W3CDTF">2019-02-11T13:10:00Z</dcterms:modified>
</cp:coreProperties>
</file>